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A7" w:rsidRPr="002C409C" w:rsidRDefault="004E6CA7" w:rsidP="00D30529">
      <w:pPr>
        <w:bidi w:val="0"/>
        <w:spacing w:line="240" w:lineRule="auto"/>
        <w:jc w:val="center"/>
        <w:rPr>
          <w:rFonts w:ascii="Times New Roman" w:hAnsi="Times New Roman" w:cs="Times New Roman"/>
          <w:b/>
          <w:bCs/>
          <w:sz w:val="32"/>
          <w:szCs w:val="32"/>
          <w:lang w:bidi="ar-IQ"/>
        </w:rPr>
      </w:pPr>
      <w:r w:rsidRPr="002C409C">
        <w:rPr>
          <w:rFonts w:ascii="Times New Roman" w:hAnsi="Times New Roman" w:cs="Times New Roman"/>
          <w:b/>
          <w:bCs/>
          <w:sz w:val="32"/>
          <w:szCs w:val="32"/>
          <w:lang w:bidi="ar-IQ"/>
        </w:rPr>
        <w:t>Serop</w:t>
      </w:r>
      <w:r w:rsidR="00F21786" w:rsidRPr="002C409C">
        <w:rPr>
          <w:rFonts w:ascii="Times New Roman" w:hAnsi="Times New Roman" w:cs="Times New Roman"/>
          <w:b/>
          <w:bCs/>
          <w:sz w:val="32"/>
          <w:szCs w:val="32"/>
          <w:lang w:bidi="ar-IQ"/>
        </w:rPr>
        <w:t>revalence of hepatitis B and hepatitis C virus infections</w:t>
      </w:r>
    </w:p>
    <w:p w:rsidR="00AD6376" w:rsidRPr="002C409C" w:rsidRDefault="00F21786" w:rsidP="004E6CA7">
      <w:pPr>
        <w:bidi w:val="0"/>
        <w:spacing w:line="240" w:lineRule="auto"/>
        <w:jc w:val="center"/>
        <w:rPr>
          <w:rFonts w:ascii="Times New Roman" w:hAnsi="Times New Roman" w:cs="Times New Roman"/>
          <w:b/>
          <w:bCs/>
          <w:sz w:val="32"/>
          <w:szCs w:val="32"/>
          <w:lang w:bidi="ar-IQ"/>
        </w:rPr>
      </w:pPr>
      <w:r w:rsidRPr="002C409C">
        <w:rPr>
          <w:rFonts w:ascii="Times New Roman" w:hAnsi="Times New Roman" w:cs="Times New Roman"/>
          <w:b/>
          <w:bCs/>
          <w:sz w:val="32"/>
          <w:szCs w:val="32"/>
          <w:lang w:bidi="ar-IQ"/>
        </w:rPr>
        <w:t xml:space="preserve"> in Diyala</w:t>
      </w:r>
      <w:r w:rsidRPr="002C409C">
        <w:rPr>
          <w:rFonts w:ascii="Times New Roman" w:hAnsi="Times New Roman" w:cs="Times New Roman"/>
          <w:sz w:val="32"/>
          <w:szCs w:val="32"/>
          <w:lang w:bidi="ar-IQ"/>
        </w:rPr>
        <w:t xml:space="preserve"> </w:t>
      </w:r>
      <w:r w:rsidRPr="002C409C">
        <w:rPr>
          <w:rFonts w:ascii="Times New Roman" w:hAnsi="Times New Roman" w:cs="Times New Roman"/>
          <w:b/>
          <w:bCs/>
          <w:sz w:val="32"/>
          <w:szCs w:val="32"/>
          <w:lang w:bidi="ar-IQ"/>
        </w:rPr>
        <w:t>province during 2003-2008</w:t>
      </w:r>
    </w:p>
    <w:p w:rsidR="00EA2D2F" w:rsidRPr="002C409C" w:rsidRDefault="00741209" w:rsidP="009279BC">
      <w:pPr>
        <w:bidi w:val="0"/>
        <w:spacing w:line="240" w:lineRule="auto"/>
        <w:jc w:val="center"/>
        <w:rPr>
          <w:rFonts w:ascii="Times New Roman" w:hAnsi="Times New Roman" w:cs="Times New Roman"/>
          <w:b/>
          <w:bCs/>
          <w:sz w:val="24"/>
          <w:szCs w:val="24"/>
          <w:lang w:bidi="ar-IQ"/>
        </w:rPr>
      </w:pPr>
      <w:r w:rsidRPr="002C409C">
        <w:rPr>
          <w:rFonts w:ascii="Times New Roman" w:hAnsi="Times New Roman" w:cs="Times New Roman"/>
          <w:b/>
          <w:bCs/>
          <w:sz w:val="24"/>
          <w:szCs w:val="24"/>
          <w:lang w:bidi="ar-IQ"/>
        </w:rPr>
        <w:t>Azher S. Al-Jebori (M.Sc.), College of education-Diyala University</w:t>
      </w:r>
    </w:p>
    <w:p w:rsidR="00741209" w:rsidRPr="002C409C" w:rsidRDefault="00741209" w:rsidP="009279BC">
      <w:pPr>
        <w:bidi w:val="0"/>
        <w:spacing w:line="240" w:lineRule="auto"/>
        <w:jc w:val="center"/>
        <w:rPr>
          <w:rFonts w:ascii="Times New Roman" w:hAnsi="Times New Roman" w:cs="Times New Roman"/>
          <w:b/>
          <w:bCs/>
          <w:sz w:val="24"/>
          <w:szCs w:val="24"/>
          <w:lang w:bidi="ar-IQ"/>
        </w:rPr>
      </w:pPr>
      <w:r w:rsidRPr="002C409C">
        <w:rPr>
          <w:rFonts w:ascii="Times New Roman" w:hAnsi="Times New Roman" w:cs="Times New Roman"/>
          <w:b/>
          <w:bCs/>
          <w:sz w:val="24"/>
          <w:szCs w:val="24"/>
          <w:lang w:bidi="ar-IQ"/>
        </w:rPr>
        <w:t>Abdul-Razak SH. Hasan (Ph.D.), College of Medicine-Diyala University</w:t>
      </w:r>
    </w:p>
    <w:p w:rsidR="00741209" w:rsidRPr="002C409C" w:rsidRDefault="009279BC" w:rsidP="009279BC">
      <w:pPr>
        <w:bidi w:val="0"/>
        <w:spacing w:line="240" w:lineRule="auto"/>
        <w:jc w:val="center"/>
        <w:rPr>
          <w:rFonts w:ascii="Times New Roman" w:hAnsi="Times New Roman" w:cs="Times New Roman"/>
          <w:b/>
          <w:bCs/>
          <w:sz w:val="24"/>
          <w:szCs w:val="24"/>
          <w:lang w:bidi="ar-IQ"/>
        </w:rPr>
      </w:pPr>
      <w:r w:rsidRPr="002C409C">
        <w:rPr>
          <w:rFonts w:ascii="Times New Roman" w:hAnsi="Times New Roman" w:cs="Times New Roman"/>
          <w:b/>
          <w:bCs/>
          <w:sz w:val="24"/>
          <w:szCs w:val="24"/>
          <w:lang w:bidi="ar-IQ"/>
        </w:rPr>
        <w:t>Abbas A. Al-Duliami (Ph.D.), College of Medicine-Diyala University</w:t>
      </w:r>
    </w:p>
    <w:p w:rsidR="00EA2D2F" w:rsidRPr="008132E8" w:rsidRDefault="00EA2D2F" w:rsidP="00CB3A3F">
      <w:pPr>
        <w:bidi w:val="0"/>
        <w:spacing w:after="0"/>
        <w:rPr>
          <w:rFonts w:ascii="Times New Roman" w:hAnsi="Times New Roman" w:cs="Times New Roman"/>
          <w:b/>
          <w:bCs/>
          <w:sz w:val="28"/>
          <w:szCs w:val="28"/>
          <w:lang w:bidi="ar-IQ"/>
        </w:rPr>
      </w:pPr>
      <w:r w:rsidRPr="008132E8">
        <w:rPr>
          <w:rFonts w:ascii="Times New Roman" w:hAnsi="Times New Roman" w:cs="Times New Roman"/>
          <w:b/>
          <w:bCs/>
          <w:sz w:val="28"/>
          <w:szCs w:val="28"/>
          <w:lang w:bidi="ar-IQ"/>
        </w:rPr>
        <w:t>Abstract:</w:t>
      </w:r>
    </w:p>
    <w:p w:rsidR="00EA2D2F" w:rsidRPr="008132E8" w:rsidRDefault="00EA2D2F" w:rsidP="00CB3A3F">
      <w:pPr>
        <w:bidi w:val="0"/>
        <w:spacing w:after="0" w:line="240" w:lineRule="auto"/>
        <w:jc w:val="both"/>
        <w:rPr>
          <w:rFonts w:ascii="Times New Roman" w:hAnsi="Times New Roman" w:cs="Times New Roman"/>
          <w:sz w:val="28"/>
          <w:szCs w:val="28"/>
          <w:lang w:bidi="ar-IQ"/>
        </w:rPr>
      </w:pPr>
      <w:r w:rsidRPr="008132E8">
        <w:rPr>
          <w:rFonts w:ascii="Times New Roman" w:hAnsi="Times New Roman" w:cs="Times New Roman"/>
          <w:b/>
          <w:bCs/>
          <w:sz w:val="28"/>
          <w:szCs w:val="28"/>
          <w:lang w:bidi="ar-IQ"/>
        </w:rPr>
        <w:t>Background:</w:t>
      </w:r>
      <w:r w:rsidR="00FF370B" w:rsidRPr="008132E8">
        <w:rPr>
          <w:rFonts w:ascii="Times New Roman" w:hAnsi="Times New Roman" w:cs="Times New Roman"/>
          <w:b/>
          <w:bCs/>
          <w:sz w:val="28"/>
          <w:szCs w:val="28"/>
          <w:lang w:bidi="ar-IQ"/>
        </w:rPr>
        <w:t xml:space="preserve"> </w:t>
      </w:r>
      <w:r w:rsidR="00FF370B" w:rsidRPr="008132E8">
        <w:rPr>
          <w:rFonts w:ascii="Times New Roman" w:hAnsi="Times New Roman" w:cs="Times New Roman"/>
          <w:sz w:val="28"/>
          <w:szCs w:val="28"/>
          <w:lang w:bidi="ar-IQ"/>
        </w:rPr>
        <w:t xml:space="preserve">The </w:t>
      </w:r>
      <w:r w:rsidR="004E6CA7" w:rsidRPr="008132E8">
        <w:rPr>
          <w:rFonts w:ascii="Times New Roman" w:hAnsi="Times New Roman" w:cs="Times New Roman"/>
          <w:sz w:val="28"/>
          <w:szCs w:val="28"/>
          <w:lang w:bidi="ar-IQ"/>
        </w:rPr>
        <w:t>ser</w:t>
      </w:r>
      <w:r w:rsidR="00376B0F" w:rsidRPr="008132E8">
        <w:rPr>
          <w:rFonts w:ascii="Times New Roman" w:hAnsi="Times New Roman" w:cs="Times New Roman"/>
          <w:sz w:val="28"/>
          <w:szCs w:val="28"/>
          <w:lang w:bidi="ar-IQ"/>
        </w:rPr>
        <w:t>o</w:t>
      </w:r>
      <w:r w:rsidR="00FF370B" w:rsidRPr="008132E8">
        <w:rPr>
          <w:rFonts w:ascii="Times New Roman" w:hAnsi="Times New Roman" w:cs="Times New Roman"/>
          <w:sz w:val="28"/>
          <w:szCs w:val="28"/>
          <w:lang w:bidi="ar-IQ"/>
        </w:rPr>
        <w:t>prevalence of hepatitis B virus (HBV) and hepatitis C virus (HCV) infection</w:t>
      </w:r>
      <w:r w:rsidR="00D8653E" w:rsidRPr="008132E8">
        <w:rPr>
          <w:rFonts w:ascii="Times New Roman" w:hAnsi="Times New Roman" w:cs="Times New Roman"/>
          <w:sz w:val="28"/>
          <w:szCs w:val="28"/>
          <w:lang w:bidi="ar-IQ"/>
        </w:rPr>
        <w:t>s</w:t>
      </w:r>
      <w:r w:rsidR="00FF370B" w:rsidRPr="008132E8">
        <w:rPr>
          <w:rFonts w:ascii="Times New Roman" w:hAnsi="Times New Roman" w:cs="Times New Roman"/>
          <w:sz w:val="28"/>
          <w:szCs w:val="28"/>
          <w:lang w:bidi="ar-IQ"/>
        </w:rPr>
        <w:t xml:space="preserve"> are largely depend on the rate of chronic carrier</w:t>
      </w:r>
      <w:r w:rsidR="00D8653E" w:rsidRPr="008132E8">
        <w:rPr>
          <w:rFonts w:ascii="Times New Roman" w:hAnsi="Times New Roman" w:cs="Times New Roman"/>
          <w:sz w:val="28"/>
          <w:szCs w:val="28"/>
          <w:lang w:bidi="ar-IQ"/>
        </w:rPr>
        <w:t xml:space="preserve"> in the community and the predominant route of infection.</w:t>
      </w:r>
    </w:p>
    <w:p w:rsidR="00EA2D2F" w:rsidRPr="008132E8" w:rsidRDefault="00EA2D2F" w:rsidP="00CB3A3F">
      <w:pPr>
        <w:bidi w:val="0"/>
        <w:spacing w:after="0" w:line="240" w:lineRule="auto"/>
        <w:jc w:val="both"/>
        <w:rPr>
          <w:rFonts w:ascii="Times New Roman" w:hAnsi="Times New Roman" w:cs="Times New Roman"/>
          <w:sz w:val="28"/>
          <w:szCs w:val="28"/>
          <w:lang w:bidi="ar-IQ"/>
        </w:rPr>
      </w:pPr>
      <w:r w:rsidRPr="008132E8">
        <w:rPr>
          <w:rFonts w:ascii="Times New Roman" w:hAnsi="Times New Roman" w:cs="Times New Roman"/>
          <w:b/>
          <w:bCs/>
          <w:sz w:val="28"/>
          <w:szCs w:val="28"/>
          <w:lang w:bidi="ar-IQ"/>
        </w:rPr>
        <w:t xml:space="preserve">Objectives: </w:t>
      </w:r>
      <w:r w:rsidRPr="008132E8">
        <w:rPr>
          <w:rFonts w:ascii="Times New Roman" w:hAnsi="Times New Roman" w:cs="Times New Roman"/>
          <w:sz w:val="28"/>
          <w:szCs w:val="28"/>
          <w:lang w:bidi="ar-IQ"/>
        </w:rPr>
        <w:t xml:space="preserve">to investigate the </w:t>
      </w:r>
      <w:r w:rsidR="004E6CA7" w:rsidRPr="008132E8">
        <w:rPr>
          <w:rFonts w:ascii="Times New Roman" w:hAnsi="Times New Roman" w:cs="Times New Roman"/>
          <w:sz w:val="28"/>
          <w:szCs w:val="28"/>
          <w:lang w:bidi="ar-IQ"/>
        </w:rPr>
        <w:t>sero</w:t>
      </w:r>
      <w:r w:rsidRPr="008132E8">
        <w:rPr>
          <w:rFonts w:ascii="Times New Roman" w:hAnsi="Times New Roman" w:cs="Times New Roman"/>
          <w:sz w:val="28"/>
          <w:szCs w:val="28"/>
          <w:lang w:bidi="ar-IQ"/>
        </w:rPr>
        <w:t>prevalence of hepatitis B and hepatitis C virus infection in Diyala province during the period from 2003 to 2008.</w:t>
      </w:r>
    </w:p>
    <w:p w:rsidR="00EA2D2F" w:rsidRPr="008132E8" w:rsidRDefault="00EA2D2F" w:rsidP="00CB3A3F">
      <w:pPr>
        <w:bidi w:val="0"/>
        <w:spacing w:after="0" w:line="240" w:lineRule="auto"/>
        <w:jc w:val="both"/>
        <w:rPr>
          <w:rFonts w:ascii="Times New Roman" w:hAnsi="Times New Roman" w:cs="Times New Roman"/>
          <w:sz w:val="28"/>
          <w:szCs w:val="28"/>
          <w:lang w:bidi="ar-IQ"/>
        </w:rPr>
      </w:pPr>
      <w:r w:rsidRPr="008132E8">
        <w:rPr>
          <w:rFonts w:ascii="Times New Roman" w:hAnsi="Times New Roman" w:cs="Times New Roman"/>
          <w:b/>
          <w:bCs/>
          <w:sz w:val="28"/>
          <w:szCs w:val="28"/>
          <w:lang w:bidi="ar-IQ"/>
        </w:rPr>
        <w:t>Materials and methods:</w:t>
      </w:r>
      <w:r w:rsidR="00AB70A2" w:rsidRPr="008132E8">
        <w:rPr>
          <w:rFonts w:ascii="Times New Roman" w:hAnsi="Times New Roman" w:cs="Times New Roman"/>
          <w:sz w:val="28"/>
          <w:szCs w:val="28"/>
          <w:lang w:bidi="ar-IQ"/>
        </w:rPr>
        <w:t xml:space="preserve"> This study was conducted for the period from 1/February/200</w:t>
      </w:r>
      <w:r w:rsidR="00D8653E" w:rsidRPr="008132E8">
        <w:rPr>
          <w:rFonts w:ascii="Times New Roman" w:hAnsi="Times New Roman" w:cs="Times New Roman"/>
          <w:sz w:val="28"/>
          <w:szCs w:val="28"/>
          <w:lang w:bidi="ar-IQ"/>
        </w:rPr>
        <w:t>3</w:t>
      </w:r>
      <w:r w:rsidR="00AB70A2" w:rsidRPr="008132E8">
        <w:rPr>
          <w:rFonts w:ascii="Times New Roman" w:hAnsi="Times New Roman" w:cs="Times New Roman"/>
          <w:sz w:val="28"/>
          <w:szCs w:val="28"/>
          <w:lang w:bidi="ar-IQ"/>
        </w:rPr>
        <w:t xml:space="preserve"> to 30/April/200</w:t>
      </w:r>
      <w:r w:rsidR="00D8653E" w:rsidRPr="008132E8">
        <w:rPr>
          <w:rFonts w:ascii="Times New Roman" w:hAnsi="Times New Roman" w:cs="Times New Roman"/>
          <w:sz w:val="28"/>
          <w:szCs w:val="28"/>
          <w:lang w:bidi="ar-IQ"/>
        </w:rPr>
        <w:t>8</w:t>
      </w:r>
      <w:r w:rsidR="00AB70A2" w:rsidRPr="008132E8">
        <w:rPr>
          <w:rFonts w:ascii="Times New Roman" w:hAnsi="Times New Roman" w:cs="Times New Roman"/>
          <w:sz w:val="28"/>
          <w:szCs w:val="28"/>
          <w:lang w:bidi="ar-IQ"/>
        </w:rPr>
        <w:t>. Data were extracted from records of the virology unit in the Public Health Laboratory in Baquba. Data were translated to computerized data base and statistically analyzed.</w:t>
      </w:r>
    </w:p>
    <w:p w:rsidR="00F00908" w:rsidRPr="008132E8" w:rsidRDefault="00EA2D2F" w:rsidP="00CB3A3F">
      <w:pPr>
        <w:bidi w:val="0"/>
        <w:spacing w:after="0" w:line="240" w:lineRule="auto"/>
        <w:jc w:val="both"/>
        <w:rPr>
          <w:rFonts w:ascii="Times New Roman" w:hAnsi="Times New Roman" w:cs="Times New Roman"/>
          <w:sz w:val="28"/>
          <w:szCs w:val="28"/>
          <w:lang w:bidi="ar-IQ"/>
        </w:rPr>
      </w:pPr>
      <w:r w:rsidRPr="008132E8">
        <w:rPr>
          <w:rFonts w:ascii="Times New Roman" w:hAnsi="Times New Roman" w:cs="Times New Roman"/>
          <w:b/>
          <w:bCs/>
          <w:sz w:val="28"/>
          <w:szCs w:val="28"/>
          <w:lang w:bidi="ar-IQ"/>
        </w:rPr>
        <w:t>Results:</w:t>
      </w:r>
      <w:r w:rsidR="00867FDD" w:rsidRPr="008132E8">
        <w:rPr>
          <w:rFonts w:ascii="Times New Roman" w:hAnsi="Times New Roman" w:cs="Times New Roman"/>
          <w:sz w:val="28"/>
          <w:szCs w:val="28"/>
          <w:lang w:bidi="ar-IQ"/>
        </w:rPr>
        <w:t xml:space="preserve"> The</w:t>
      </w:r>
      <w:r w:rsidR="00C6521B" w:rsidRPr="008132E8">
        <w:rPr>
          <w:rFonts w:ascii="Times New Roman" w:hAnsi="Times New Roman" w:cs="Times New Roman"/>
          <w:sz w:val="28"/>
          <w:szCs w:val="28"/>
          <w:lang w:bidi="ar-IQ"/>
        </w:rPr>
        <w:t xml:space="preserve"> highest</w:t>
      </w:r>
      <w:r w:rsidR="00867FDD" w:rsidRPr="008132E8">
        <w:rPr>
          <w:rFonts w:ascii="Times New Roman" w:hAnsi="Times New Roman" w:cs="Times New Roman"/>
          <w:sz w:val="28"/>
          <w:szCs w:val="28"/>
          <w:lang w:bidi="ar-IQ"/>
        </w:rPr>
        <w:t xml:space="preserve"> annual prevalence rate of HBV infection was found in 2004 (5.5/1000 tested samples</w:t>
      </w:r>
      <w:r w:rsidR="008230A8" w:rsidRPr="008132E8">
        <w:rPr>
          <w:rFonts w:ascii="Times New Roman" w:hAnsi="Times New Roman" w:cs="Times New Roman"/>
          <w:sz w:val="28"/>
          <w:szCs w:val="28"/>
          <w:lang w:bidi="ar-IQ"/>
        </w:rPr>
        <w:t>) and</w:t>
      </w:r>
      <w:r w:rsidR="00C6521B" w:rsidRPr="008132E8">
        <w:rPr>
          <w:rFonts w:ascii="Times New Roman" w:hAnsi="Times New Roman" w:cs="Times New Roman"/>
          <w:sz w:val="28"/>
          <w:szCs w:val="28"/>
          <w:lang w:bidi="ar-IQ"/>
        </w:rPr>
        <w:t xml:space="preserve"> highest </w:t>
      </w:r>
      <w:r w:rsidR="00867FDD" w:rsidRPr="008132E8">
        <w:rPr>
          <w:rFonts w:ascii="Times New Roman" w:hAnsi="Times New Roman" w:cs="Times New Roman"/>
          <w:sz w:val="28"/>
          <w:szCs w:val="28"/>
          <w:lang w:bidi="ar-IQ"/>
        </w:rPr>
        <w:t>annual prevalence rate of HCV infection was found in 2004 (2.5/1000 tested samples)</w:t>
      </w:r>
      <w:r w:rsidR="00C6521B" w:rsidRPr="008132E8">
        <w:rPr>
          <w:rFonts w:ascii="Times New Roman" w:hAnsi="Times New Roman" w:cs="Times New Roman"/>
          <w:sz w:val="28"/>
          <w:szCs w:val="28"/>
          <w:lang w:bidi="ar-IQ"/>
        </w:rPr>
        <w:t>.</w:t>
      </w:r>
      <w:r w:rsidR="00D14F50" w:rsidRPr="008132E8">
        <w:rPr>
          <w:rFonts w:ascii="Times New Roman" w:hAnsi="Times New Roman" w:cs="Times New Roman"/>
          <w:sz w:val="28"/>
          <w:szCs w:val="28"/>
          <w:lang w:bidi="ar-IQ"/>
        </w:rPr>
        <w:t xml:space="preserve"> The HBV and HCV positive cases were peaked in April months. The HBV positive cases were significantly higher among the age group (20-29) years (p &lt;0.001). </w:t>
      </w:r>
      <w:r w:rsidR="001C4612" w:rsidRPr="008132E8">
        <w:rPr>
          <w:rFonts w:ascii="Times New Roman" w:hAnsi="Times New Roman" w:cs="Times New Roman"/>
          <w:sz w:val="28"/>
          <w:szCs w:val="28"/>
          <w:lang w:bidi="ar-IQ"/>
        </w:rPr>
        <w:t>T</w:t>
      </w:r>
      <w:r w:rsidR="00D14F50" w:rsidRPr="008132E8">
        <w:rPr>
          <w:rFonts w:ascii="Times New Roman" w:hAnsi="Times New Roman" w:cs="Times New Roman"/>
          <w:sz w:val="28"/>
          <w:szCs w:val="28"/>
          <w:lang w:bidi="ar-IQ"/>
        </w:rPr>
        <w:t>he HCV positive cases were significantly higher among the age group (30-39) years (p &lt; 0.001).</w:t>
      </w:r>
      <w:r w:rsidR="001C4612" w:rsidRPr="008132E8">
        <w:rPr>
          <w:rFonts w:ascii="Times New Roman" w:hAnsi="Times New Roman" w:cs="Times New Roman"/>
          <w:sz w:val="28"/>
          <w:szCs w:val="28"/>
          <w:lang w:bidi="ar-IQ"/>
        </w:rPr>
        <w:t xml:space="preserve"> There is no association between HBV and HCV positivity rates and the district of residence.</w:t>
      </w:r>
      <w:r w:rsidR="00EA592A" w:rsidRPr="008132E8">
        <w:rPr>
          <w:rFonts w:ascii="Times New Roman" w:hAnsi="Times New Roman" w:cs="Times New Roman"/>
          <w:sz w:val="28"/>
          <w:szCs w:val="28"/>
          <w:lang w:bidi="ar-IQ"/>
        </w:rPr>
        <w:t xml:space="preserve"> The HBV and HCV positivity rates were significantly higher (p= 0.009) in males compared to females.</w:t>
      </w:r>
    </w:p>
    <w:p w:rsidR="00EA2D2F" w:rsidRPr="008132E8" w:rsidRDefault="00EA2D2F" w:rsidP="00CB3A3F">
      <w:pPr>
        <w:bidi w:val="0"/>
        <w:spacing w:after="0" w:line="240" w:lineRule="auto"/>
        <w:jc w:val="both"/>
        <w:rPr>
          <w:rFonts w:ascii="Times New Roman" w:hAnsi="Times New Roman" w:cs="Times New Roman"/>
          <w:sz w:val="28"/>
          <w:szCs w:val="28"/>
          <w:lang w:bidi="ar-IQ"/>
        </w:rPr>
      </w:pPr>
      <w:r w:rsidRPr="008132E8">
        <w:rPr>
          <w:rFonts w:ascii="Times New Roman" w:hAnsi="Times New Roman" w:cs="Times New Roman"/>
          <w:b/>
          <w:bCs/>
          <w:sz w:val="28"/>
          <w:szCs w:val="28"/>
          <w:lang w:bidi="ar-IQ"/>
        </w:rPr>
        <w:t>Conclusion:</w:t>
      </w:r>
      <w:r w:rsidR="00F00908" w:rsidRPr="008132E8">
        <w:rPr>
          <w:rFonts w:ascii="Times New Roman" w:hAnsi="Times New Roman" w:cs="Times New Roman"/>
          <w:sz w:val="28"/>
          <w:szCs w:val="28"/>
          <w:lang w:bidi="ar-IQ"/>
        </w:rPr>
        <w:t xml:space="preserve"> Although the annual </w:t>
      </w:r>
      <w:r w:rsidR="004E6CA7" w:rsidRPr="008132E8">
        <w:rPr>
          <w:rFonts w:ascii="Times New Roman" w:hAnsi="Times New Roman" w:cs="Times New Roman"/>
          <w:sz w:val="28"/>
          <w:szCs w:val="28"/>
          <w:lang w:bidi="ar-IQ"/>
        </w:rPr>
        <w:t>sero</w:t>
      </w:r>
      <w:r w:rsidR="00F00908" w:rsidRPr="008132E8">
        <w:rPr>
          <w:rFonts w:ascii="Times New Roman" w:hAnsi="Times New Roman" w:cs="Times New Roman"/>
          <w:sz w:val="28"/>
          <w:szCs w:val="28"/>
          <w:lang w:bidi="ar-IQ"/>
        </w:rPr>
        <w:t xml:space="preserve">prevalence of HBV is slightly decline, the annual </w:t>
      </w:r>
      <w:r w:rsidR="004E6CA7" w:rsidRPr="008132E8">
        <w:rPr>
          <w:rFonts w:ascii="Times New Roman" w:hAnsi="Times New Roman" w:cs="Times New Roman"/>
          <w:sz w:val="28"/>
          <w:szCs w:val="28"/>
          <w:lang w:bidi="ar-IQ"/>
        </w:rPr>
        <w:t>sero</w:t>
      </w:r>
      <w:r w:rsidR="00F00908" w:rsidRPr="008132E8">
        <w:rPr>
          <w:rFonts w:ascii="Times New Roman" w:hAnsi="Times New Roman" w:cs="Times New Roman"/>
          <w:sz w:val="28"/>
          <w:szCs w:val="28"/>
          <w:lang w:bidi="ar-IQ"/>
        </w:rPr>
        <w:t>prevalence of HCV is increased. Strengthening of surveillance system is recommended.</w:t>
      </w:r>
    </w:p>
    <w:p w:rsidR="00376B0F" w:rsidRPr="008132E8" w:rsidRDefault="00EA2D2F" w:rsidP="00CB3A3F">
      <w:pPr>
        <w:bidi w:val="0"/>
        <w:spacing w:after="0" w:line="240" w:lineRule="auto"/>
        <w:jc w:val="center"/>
        <w:rPr>
          <w:rFonts w:ascii="Times New Roman" w:hAnsi="Times New Roman" w:cs="Times New Roman"/>
          <w:b/>
          <w:bCs/>
          <w:sz w:val="28"/>
          <w:szCs w:val="28"/>
          <w:lang w:bidi="ar-IQ"/>
        </w:rPr>
      </w:pPr>
      <w:r w:rsidRPr="008132E8">
        <w:rPr>
          <w:rFonts w:ascii="Times New Roman" w:hAnsi="Times New Roman" w:cs="Times New Roman"/>
          <w:b/>
          <w:bCs/>
          <w:sz w:val="28"/>
          <w:szCs w:val="28"/>
          <w:lang w:bidi="ar-IQ"/>
        </w:rPr>
        <w:t>Key words:</w:t>
      </w:r>
      <w:r w:rsidR="00F00908" w:rsidRPr="008132E8">
        <w:rPr>
          <w:rFonts w:ascii="Times New Roman" w:hAnsi="Times New Roman" w:cs="Times New Roman"/>
          <w:b/>
          <w:bCs/>
          <w:sz w:val="28"/>
          <w:szCs w:val="28"/>
          <w:lang w:bidi="ar-IQ"/>
        </w:rPr>
        <w:t xml:space="preserve"> HBV, HCV, </w:t>
      </w:r>
      <w:r w:rsidR="00376B0F" w:rsidRPr="008132E8">
        <w:rPr>
          <w:rFonts w:ascii="Times New Roman" w:hAnsi="Times New Roman" w:cs="Times New Roman"/>
          <w:b/>
          <w:bCs/>
          <w:sz w:val="28"/>
          <w:szCs w:val="28"/>
          <w:lang w:bidi="ar-IQ"/>
        </w:rPr>
        <w:t>seroprevalence</w:t>
      </w:r>
    </w:p>
    <w:p w:rsidR="00A42BB1" w:rsidRPr="008132E8" w:rsidRDefault="00EA2D2F" w:rsidP="00CB3A3F">
      <w:pPr>
        <w:bidi w:val="0"/>
        <w:spacing w:after="0" w:line="240" w:lineRule="auto"/>
        <w:rPr>
          <w:rFonts w:ascii="Times New Roman" w:hAnsi="Times New Roman" w:cs="Times New Roman"/>
          <w:sz w:val="28"/>
          <w:szCs w:val="28"/>
          <w:lang w:bidi="ar-IQ"/>
        </w:rPr>
      </w:pPr>
      <w:r w:rsidRPr="008132E8">
        <w:rPr>
          <w:rFonts w:ascii="Times New Roman" w:hAnsi="Times New Roman" w:cs="Times New Roman"/>
          <w:b/>
          <w:bCs/>
          <w:sz w:val="28"/>
          <w:szCs w:val="28"/>
          <w:lang w:bidi="ar-IQ"/>
        </w:rPr>
        <w:t>Introduction:</w:t>
      </w:r>
      <w:r w:rsidR="00A42BB1" w:rsidRPr="008132E8">
        <w:rPr>
          <w:rFonts w:ascii="Times New Roman" w:hAnsi="Times New Roman" w:cs="Times New Roman"/>
          <w:b/>
          <w:bCs/>
          <w:sz w:val="28"/>
          <w:szCs w:val="28"/>
          <w:lang w:bidi="ar-IQ"/>
        </w:rPr>
        <w:t xml:space="preserve"> </w:t>
      </w:r>
    </w:p>
    <w:p w:rsidR="00BF6AEE" w:rsidRPr="008132E8" w:rsidRDefault="00376B0F" w:rsidP="00CB3A3F">
      <w:pPr>
        <w:bidi w:val="0"/>
        <w:spacing w:after="0"/>
        <w:jc w:val="both"/>
        <w:rPr>
          <w:rFonts w:ascii="Times New Roman" w:hAnsi="Times New Roman" w:cs="Times New Roman"/>
          <w:b/>
          <w:bCs/>
          <w:sz w:val="28"/>
          <w:szCs w:val="28"/>
          <w:lang w:bidi="ar-IQ"/>
        </w:rPr>
      </w:pPr>
      <w:r w:rsidRPr="008132E8">
        <w:rPr>
          <w:rFonts w:ascii="Times New Roman" w:hAnsi="Times New Roman" w:cs="Times New Roman"/>
          <w:sz w:val="28"/>
          <w:szCs w:val="28"/>
          <w:lang w:bidi="ar-IQ"/>
        </w:rPr>
        <w:t xml:space="preserve">    </w:t>
      </w:r>
      <w:r w:rsidR="008C3FA7" w:rsidRPr="008132E8">
        <w:rPr>
          <w:rFonts w:ascii="Times New Roman" w:hAnsi="Times New Roman" w:cs="Times New Roman"/>
          <w:sz w:val="28"/>
          <w:szCs w:val="28"/>
          <w:lang w:bidi="ar-IQ"/>
        </w:rPr>
        <w:t xml:space="preserve">The estimated global prevalence of viral hepatitis is around 3%-5%, which means that approximately 400 million people are infected with HBV and around 170 million with HCV </w:t>
      </w:r>
      <w:r w:rsidR="008C3FA7" w:rsidRPr="008132E8">
        <w:rPr>
          <w:rFonts w:ascii="Times New Roman" w:hAnsi="Times New Roman" w:cs="Times New Roman"/>
          <w:b/>
          <w:bCs/>
          <w:sz w:val="28"/>
          <w:szCs w:val="28"/>
          <w:vertAlign w:val="superscript"/>
          <w:lang w:bidi="ar-IQ"/>
        </w:rPr>
        <w:t>[1</w:t>
      </w:r>
      <w:r w:rsidR="000D568A" w:rsidRPr="008132E8">
        <w:rPr>
          <w:rFonts w:ascii="Times New Roman" w:hAnsi="Times New Roman" w:cs="Times New Roman"/>
          <w:b/>
          <w:bCs/>
          <w:sz w:val="28"/>
          <w:szCs w:val="28"/>
          <w:vertAlign w:val="superscript"/>
          <w:lang w:bidi="ar-IQ"/>
        </w:rPr>
        <w:t>]</w:t>
      </w:r>
      <w:r w:rsidR="000D568A" w:rsidRPr="008132E8">
        <w:rPr>
          <w:rFonts w:ascii="Times New Roman" w:hAnsi="Times New Roman" w:cs="Times New Roman"/>
          <w:color w:val="FF0000"/>
          <w:sz w:val="28"/>
          <w:szCs w:val="28"/>
          <w:lang w:bidi="ar-IQ"/>
        </w:rPr>
        <w:t xml:space="preserve">. </w:t>
      </w:r>
      <w:r w:rsidR="008618F9" w:rsidRPr="008132E8">
        <w:rPr>
          <w:rFonts w:ascii="Times New Roman" w:hAnsi="Times New Roman" w:cs="Times New Roman"/>
          <w:sz w:val="28"/>
          <w:szCs w:val="28"/>
          <w:lang w:bidi="ar-IQ"/>
        </w:rPr>
        <w:t>HBV and HCV infections are of major public health concern</w:t>
      </w:r>
      <w:r w:rsidR="00B47E7D" w:rsidRPr="008132E8">
        <w:rPr>
          <w:rFonts w:ascii="Times New Roman" w:hAnsi="Times New Roman" w:cs="Times New Roman"/>
          <w:sz w:val="28"/>
          <w:szCs w:val="28"/>
          <w:lang w:bidi="ar-IQ"/>
        </w:rPr>
        <w:t>; infected individuals carry a substantial risk for chronic liver disease, 5%-10% for HBV and more than 50% for HCV</w:t>
      </w:r>
      <w:r w:rsidR="00B47E7D" w:rsidRPr="008132E8">
        <w:rPr>
          <w:rFonts w:ascii="Times New Roman" w:hAnsi="Times New Roman" w:cs="Times New Roman"/>
          <w:b/>
          <w:bCs/>
          <w:sz w:val="28"/>
          <w:szCs w:val="28"/>
          <w:vertAlign w:val="superscript"/>
          <w:lang w:bidi="ar-IQ"/>
        </w:rPr>
        <w:t>[2,3]</w:t>
      </w:r>
      <w:r w:rsidR="00B47E7D" w:rsidRPr="008132E8">
        <w:rPr>
          <w:rFonts w:ascii="Times New Roman" w:hAnsi="Times New Roman" w:cs="Times New Roman"/>
          <w:sz w:val="28"/>
          <w:szCs w:val="28"/>
          <w:lang w:bidi="ar-IQ"/>
        </w:rPr>
        <w:t xml:space="preserve">. </w:t>
      </w:r>
      <w:r w:rsidR="00875301" w:rsidRPr="008132E8">
        <w:rPr>
          <w:rFonts w:ascii="Times New Roman" w:hAnsi="Times New Roman" w:cs="Times New Roman"/>
          <w:sz w:val="28"/>
          <w:szCs w:val="28"/>
          <w:lang w:bidi="ar-IQ"/>
        </w:rPr>
        <w:t xml:space="preserve">Furthermore, Several studies have been linked the chronic hepatitis C infection with extrahepatic manifestations </w:t>
      </w:r>
      <w:r w:rsidR="00875301" w:rsidRPr="008132E8">
        <w:rPr>
          <w:rFonts w:ascii="Times New Roman" w:hAnsi="Times New Roman" w:cs="Times New Roman"/>
          <w:b/>
          <w:bCs/>
          <w:sz w:val="28"/>
          <w:szCs w:val="28"/>
          <w:vertAlign w:val="superscript"/>
          <w:lang w:bidi="ar-IQ"/>
        </w:rPr>
        <w:t>[</w:t>
      </w:r>
      <w:r w:rsidR="00B919FD" w:rsidRPr="008132E8">
        <w:rPr>
          <w:rFonts w:ascii="Times New Roman" w:hAnsi="Times New Roman" w:cs="Times New Roman"/>
          <w:b/>
          <w:bCs/>
          <w:sz w:val="28"/>
          <w:szCs w:val="28"/>
          <w:vertAlign w:val="superscript"/>
          <w:lang w:bidi="ar-IQ"/>
        </w:rPr>
        <w:t>4,5</w:t>
      </w:r>
      <w:r w:rsidR="00875301" w:rsidRPr="008132E8">
        <w:rPr>
          <w:rFonts w:ascii="Times New Roman" w:hAnsi="Times New Roman" w:cs="Times New Roman"/>
          <w:b/>
          <w:bCs/>
          <w:sz w:val="28"/>
          <w:szCs w:val="28"/>
          <w:vertAlign w:val="superscript"/>
          <w:lang w:bidi="ar-IQ"/>
        </w:rPr>
        <w:t>]</w:t>
      </w:r>
      <w:r w:rsidR="00875301" w:rsidRPr="008132E8">
        <w:rPr>
          <w:rFonts w:ascii="Times New Roman" w:hAnsi="Times New Roman" w:cs="Times New Roman"/>
          <w:sz w:val="28"/>
          <w:szCs w:val="28"/>
          <w:lang w:bidi="ar-IQ"/>
        </w:rPr>
        <w:t>.</w:t>
      </w:r>
      <w:r w:rsidR="00885B98" w:rsidRPr="008132E8">
        <w:rPr>
          <w:rFonts w:ascii="Times New Roman" w:hAnsi="Times New Roman" w:cs="Times New Roman"/>
          <w:sz w:val="28"/>
          <w:szCs w:val="28"/>
          <w:lang w:bidi="ar-IQ"/>
        </w:rPr>
        <w:t xml:space="preserve"> HBV and HCV share the common feature is that all practices, involves blood-to-blood exposure</w:t>
      </w:r>
      <w:r w:rsidR="00766691" w:rsidRPr="008132E8">
        <w:rPr>
          <w:rFonts w:ascii="Times New Roman" w:hAnsi="Times New Roman" w:cs="Times New Roman"/>
          <w:sz w:val="28"/>
          <w:szCs w:val="28"/>
          <w:lang w:bidi="ar-IQ"/>
        </w:rPr>
        <w:t xml:space="preserve"> and other body fluids</w:t>
      </w:r>
      <w:r w:rsidR="00885B98" w:rsidRPr="008132E8">
        <w:rPr>
          <w:rFonts w:ascii="Times New Roman" w:hAnsi="Times New Roman" w:cs="Times New Roman"/>
          <w:sz w:val="28"/>
          <w:szCs w:val="28"/>
          <w:lang w:bidi="ar-IQ"/>
        </w:rPr>
        <w:t xml:space="preserve"> can potentially be a source</w:t>
      </w:r>
      <w:r w:rsidR="00766691" w:rsidRPr="008132E8">
        <w:rPr>
          <w:rFonts w:ascii="Times New Roman" w:hAnsi="Times New Roman" w:cs="Times New Roman"/>
          <w:sz w:val="28"/>
          <w:szCs w:val="28"/>
          <w:lang w:bidi="ar-IQ"/>
        </w:rPr>
        <w:t>s</w:t>
      </w:r>
      <w:r w:rsidR="00885B98" w:rsidRPr="008132E8">
        <w:rPr>
          <w:rFonts w:ascii="Times New Roman" w:hAnsi="Times New Roman" w:cs="Times New Roman"/>
          <w:sz w:val="28"/>
          <w:szCs w:val="28"/>
          <w:lang w:bidi="ar-IQ"/>
        </w:rPr>
        <w:t xml:space="preserve"> of infection </w:t>
      </w:r>
      <w:r w:rsidR="00885B98" w:rsidRPr="008132E8">
        <w:rPr>
          <w:rFonts w:ascii="Times New Roman" w:hAnsi="Times New Roman" w:cs="Times New Roman"/>
          <w:b/>
          <w:bCs/>
          <w:sz w:val="28"/>
          <w:szCs w:val="28"/>
          <w:vertAlign w:val="superscript"/>
          <w:lang w:bidi="ar-IQ"/>
        </w:rPr>
        <w:t>[6,7]</w:t>
      </w:r>
      <w:r w:rsidR="00B47E7D" w:rsidRPr="008132E8">
        <w:rPr>
          <w:rFonts w:ascii="Times New Roman" w:hAnsi="Times New Roman" w:cs="Times New Roman"/>
          <w:sz w:val="28"/>
          <w:szCs w:val="28"/>
          <w:lang w:bidi="ar-IQ"/>
        </w:rPr>
        <w:t xml:space="preserve"> </w:t>
      </w:r>
      <w:r w:rsidR="00365A20" w:rsidRPr="008132E8">
        <w:rPr>
          <w:rFonts w:ascii="Times New Roman" w:hAnsi="Times New Roman" w:cs="Times New Roman"/>
          <w:sz w:val="28"/>
          <w:szCs w:val="28"/>
          <w:lang w:bidi="ar-IQ"/>
        </w:rPr>
        <w:t xml:space="preserve">. Moreover, individuals infected with HBV and to a lesser degree HCV, may transmit the virus to their sexual partners, and in case of mothers to their babies </w:t>
      </w:r>
      <w:r w:rsidR="00365A20" w:rsidRPr="008132E8">
        <w:rPr>
          <w:rFonts w:ascii="Times New Roman" w:hAnsi="Times New Roman" w:cs="Times New Roman"/>
          <w:b/>
          <w:bCs/>
          <w:sz w:val="28"/>
          <w:szCs w:val="28"/>
          <w:vertAlign w:val="superscript"/>
          <w:lang w:bidi="ar-IQ"/>
        </w:rPr>
        <w:t>[8.9]</w:t>
      </w:r>
      <w:r w:rsidR="00365A20" w:rsidRPr="008132E8">
        <w:rPr>
          <w:rFonts w:ascii="Times New Roman" w:hAnsi="Times New Roman" w:cs="Times New Roman"/>
          <w:sz w:val="28"/>
          <w:szCs w:val="28"/>
          <w:lang w:bidi="ar-IQ"/>
        </w:rPr>
        <w:t>.</w:t>
      </w:r>
      <w:r w:rsidR="00B47E7D" w:rsidRPr="008132E8">
        <w:rPr>
          <w:rFonts w:ascii="Times New Roman" w:hAnsi="Times New Roman" w:cs="Times New Roman"/>
          <w:color w:val="FF0000"/>
          <w:sz w:val="28"/>
          <w:szCs w:val="28"/>
          <w:lang w:bidi="ar-IQ"/>
        </w:rPr>
        <w:t xml:space="preserve"> </w:t>
      </w:r>
    </w:p>
    <w:p w:rsidR="00392D7E" w:rsidRPr="008132E8" w:rsidRDefault="00376B0F" w:rsidP="00CB3A3F">
      <w:pPr>
        <w:bidi w:val="0"/>
        <w:spacing w:after="0"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lastRenderedPageBreak/>
        <w:t xml:space="preserve">    </w:t>
      </w:r>
      <w:r w:rsidR="00955C41" w:rsidRPr="008132E8">
        <w:rPr>
          <w:rFonts w:ascii="Times New Roman" w:hAnsi="Times New Roman" w:cs="Times New Roman"/>
          <w:sz w:val="28"/>
          <w:szCs w:val="28"/>
          <w:lang w:bidi="ar-IQ"/>
        </w:rPr>
        <w:t xml:space="preserve">The prevalence of HBV and HCV infections have a wide geographical variation depending on the rate of chronic </w:t>
      </w:r>
      <w:r w:rsidR="006A0FF1" w:rsidRPr="008132E8">
        <w:rPr>
          <w:rFonts w:ascii="Times New Roman" w:hAnsi="Times New Roman" w:cs="Times New Roman"/>
          <w:sz w:val="28"/>
          <w:szCs w:val="28"/>
          <w:lang w:bidi="ar-IQ"/>
        </w:rPr>
        <w:t>carrier and</w:t>
      </w:r>
      <w:r w:rsidR="00955C41" w:rsidRPr="008132E8">
        <w:rPr>
          <w:rFonts w:ascii="Times New Roman" w:hAnsi="Times New Roman" w:cs="Times New Roman"/>
          <w:sz w:val="28"/>
          <w:szCs w:val="28"/>
          <w:lang w:bidi="ar-IQ"/>
        </w:rPr>
        <w:t xml:space="preserve"> the predominant route of </w:t>
      </w:r>
      <w:r w:rsidR="006A0FF1" w:rsidRPr="008132E8">
        <w:rPr>
          <w:rFonts w:ascii="Times New Roman" w:hAnsi="Times New Roman" w:cs="Times New Roman"/>
          <w:sz w:val="28"/>
          <w:szCs w:val="28"/>
          <w:lang w:bidi="ar-IQ"/>
        </w:rPr>
        <w:t>transmission</w:t>
      </w:r>
      <w:r w:rsidR="006A0FF1" w:rsidRPr="008132E8">
        <w:rPr>
          <w:rFonts w:ascii="Times New Roman" w:hAnsi="Times New Roman" w:cs="Times New Roman"/>
          <w:b/>
          <w:bCs/>
          <w:sz w:val="28"/>
          <w:szCs w:val="28"/>
          <w:vertAlign w:val="superscript"/>
          <w:lang w:bidi="ar-IQ"/>
        </w:rPr>
        <w:t xml:space="preserve"> [</w:t>
      </w:r>
      <w:r w:rsidR="004526FF" w:rsidRPr="008132E8">
        <w:rPr>
          <w:rFonts w:ascii="Times New Roman" w:hAnsi="Times New Roman" w:cs="Times New Roman"/>
          <w:b/>
          <w:bCs/>
          <w:sz w:val="28"/>
          <w:szCs w:val="28"/>
          <w:vertAlign w:val="superscript"/>
          <w:lang w:bidi="ar-IQ"/>
        </w:rPr>
        <w:t>10,11]</w:t>
      </w:r>
      <w:r w:rsidR="00955C41" w:rsidRPr="008132E8">
        <w:rPr>
          <w:rFonts w:ascii="Times New Roman" w:hAnsi="Times New Roman" w:cs="Times New Roman"/>
          <w:sz w:val="28"/>
          <w:szCs w:val="28"/>
          <w:lang w:bidi="ar-IQ"/>
        </w:rPr>
        <w:t>.</w:t>
      </w:r>
      <w:r w:rsidR="008A71BB" w:rsidRPr="008132E8">
        <w:rPr>
          <w:rFonts w:ascii="Times New Roman" w:hAnsi="Times New Roman" w:cs="Times New Roman"/>
          <w:sz w:val="28"/>
          <w:szCs w:val="28"/>
          <w:lang w:bidi="ar-IQ"/>
        </w:rPr>
        <w:t xml:space="preserve"> In Iraq, the intrafamilial childhood horizontal transmission  is an important means by which HBV endemicity rate is maintained </w:t>
      </w:r>
      <w:r w:rsidR="008A71BB" w:rsidRPr="008132E8">
        <w:rPr>
          <w:rFonts w:ascii="Times New Roman" w:hAnsi="Times New Roman" w:cs="Times New Roman"/>
          <w:b/>
          <w:bCs/>
          <w:sz w:val="28"/>
          <w:szCs w:val="28"/>
          <w:vertAlign w:val="superscript"/>
          <w:lang w:bidi="ar-IQ"/>
        </w:rPr>
        <w:t>[12]</w:t>
      </w:r>
      <w:r w:rsidR="008A71BB" w:rsidRPr="008132E8">
        <w:rPr>
          <w:rFonts w:ascii="Times New Roman" w:hAnsi="Times New Roman" w:cs="Times New Roman"/>
          <w:sz w:val="28"/>
          <w:szCs w:val="28"/>
          <w:lang w:bidi="ar-IQ"/>
        </w:rPr>
        <w:t>.</w:t>
      </w:r>
      <w:r w:rsidR="00A17C6D" w:rsidRPr="008132E8">
        <w:rPr>
          <w:rFonts w:ascii="Times New Roman" w:hAnsi="Times New Roman" w:cs="Times New Roman"/>
          <w:sz w:val="28"/>
          <w:szCs w:val="28"/>
          <w:lang w:bidi="ar-IQ"/>
        </w:rPr>
        <w:t xml:space="preserve"> </w:t>
      </w:r>
      <w:r w:rsidR="006A0FF1" w:rsidRPr="008132E8">
        <w:rPr>
          <w:rFonts w:ascii="Times New Roman" w:hAnsi="Times New Roman" w:cs="Times New Roman"/>
          <w:sz w:val="28"/>
          <w:szCs w:val="28"/>
          <w:lang w:bidi="ar-IQ"/>
        </w:rPr>
        <w:t>In a previous study conducted from 1989 to 2002, t</w:t>
      </w:r>
      <w:r w:rsidR="00A17C6D" w:rsidRPr="008132E8">
        <w:rPr>
          <w:rFonts w:ascii="Times New Roman" w:hAnsi="Times New Roman" w:cs="Times New Roman"/>
          <w:sz w:val="28"/>
          <w:szCs w:val="28"/>
          <w:lang w:bidi="ar-IQ"/>
        </w:rPr>
        <w:t xml:space="preserve">he prevalence of HBV among </w:t>
      </w:r>
      <w:r w:rsidR="00657C04" w:rsidRPr="008132E8">
        <w:rPr>
          <w:rFonts w:ascii="Times New Roman" w:hAnsi="Times New Roman" w:cs="Times New Roman"/>
          <w:sz w:val="28"/>
          <w:szCs w:val="28"/>
          <w:lang w:bidi="ar-IQ"/>
        </w:rPr>
        <w:t>volunteers blood</w:t>
      </w:r>
      <w:r w:rsidR="00A17C6D" w:rsidRPr="008132E8">
        <w:rPr>
          <w:rFonts w:ascii="Times New Roman" w:hAnsi="Times New Roman" w:cs="Times New Roman"/>
          <w:sz w:val="28"/>
          <w:szCs w:val="28"/>
          <w:lang w:bidi="ar-IQ"/>
        </w:rPr>
        <w:t xml:space="preserve"> donors was 1.6%, and higher prevalence was recorded among risky population </w:t>
      </w:r>
      <w:r w:rsidR="00A17C6D" w:rsidRPr="008132E8">
        <w:rPr>
          <w:rFonts w:ascii="Times New Roman" w:hAnsi="Times New Roman" w:cs="Times New Roman"/>
          <w:b/>
          <w:bCs/>
          <w:sz w:val="28"/>
          <w:szCs w:val="28"/>
          <w:vertAlign w:val="superscript"/>
          <w:lang w:bidi="ar-IQ"/>
        </w:rPr>
        <w:t>[13</w:t>
      </w:r>
      <w:r w:rsidR="006A0FF1" w:rsidRPr="008132E8">
        <w:rPr>
          <w:rFonts w:ascii="Times New Roman" w:hAnsi="Times New Roman" w:cs="Times New Roman"/>
          <w:b/>
          <w:bCs/>
          <w:sz w:val="28"/>
          <w:szCs w:val="28"/>
          <w:vertAlign w:val="superscript"/>
          <w:lang w:bidi="ar-IQ"/>
        </w:rPr>
        <w:t>,14</w:t>
      </w:r>
      <w:r w:rsidR="00A17C6D" w:rsidRPr="008132E8">
        <w:rPr>
          <w:rFonts w:ascii="Times New Roman" w:hAnsi="Times New Roman" w:cs="Times New Roman"/>
          <w:b/>
          <w:bCs/>
          <w:sz w:val="28"/>
          <w:szCs w:val="28"/>
          <w:vertAlign w:val="superscript"/>
          <w:lang w:bidi="ar-IQ"/>
        </w:rPr>
        <w:t>]</w:t>
      </w:r>
      <w:r w:rsidR="00A17C6D" w:rsidRPr="008132E8">
        <w:rPr>
          <w:rFonts w:ascii="Times New Roman" w:hAnsi="Times New Roman" w:cs="Times New Roman"/>
          <w:sz w:val="28"/>
          <w:szCs w:val="28"/>
          <w:lang w:bidi="ar-IQ"/>
        </w:rPr>
        <w:t>.</w:t>
      </w:r>
      <w:r w:rsidR="00657C04" w:rsidRPr="008132E8">
        <w:rPr>
          <w:rFonts w:ascii="Times New Roman" w:hAnsi="Times New Roman" w:cs="Times New Roman"/>
          <w:sz w:val="28"/>
          <w:szCs w:val="28"/>
          <w:lang w:bidi="ar-IQ"/>
        </w:rPr>
        <w:t xml:space="preserve"> However, </w:t>
      </w:r>
      <w:r w:rsidR="006A0FF1" w:rsidRPr="008132E8">
        <w:rPr>
          <w:rFonts w:ascii="Times New Roman" w:hAnsi="Times New Roman" w:cs="Times New Roman"/>
          <w:sz w:val="28"/>
          <w:szCs w:val="28"/>
          <w:lang w:bidi="ar-IQ"/>
        </w:rPr>
        <w:t>t</w:t>
      </w:r>
      <w:r w:rsidR="00372615" w:rsidRPr="008132E8">
        <w:rPr>
          <w:rFonts w:ascii="Times New Roman" w:hAnsi="Times New Roman" w:cs="Times New Roman"/>
          <w:sz w:val="28"/>
          <w:szCs w:val="28"/>
          <w:lang w:bidi="ar-IQ"/>
        </w:rPr>
        <w:t xml:space="preserve">he prevalence of HCV infection was much lower than HBV infection, being 0.15% among blood donors and highest in multiple blood recipients </w:t>
      </w:r>
      <w:r w:rsidR="00372615" w:rsidRPr="008132E8">
        <w:rPr>
          <w:rFonts w:ascii="Times New Roman" w:hAnsi="Times New Roman" w:cs="Times New Roman"/>
          <w:b/>
          <w:bCs/>
          <w:sz w:val="28"/>
          <w:szCs w:val="28"/>
          <w:vertAlign w:val="superscript"/>
          <w:lang w:bidi="ar-IQ"/>
        </w:rPr>
        <w:t>[15</w:t>
      </w:r>
      <w:r w:rsidR="001F4294" w:rsidRPr="008132E8">
        <w:rPr>
          <w:rFonts w:ascii="Times New Roman" w:hAnsi="Times New Roman" w:cs="Times New Roman"/>
          <w:b/>
          <w:bCs/>
          <w:sz w:val="28"/>
          <w:szCs w:val="28"/>
          <w:vertAlign w:val="superscript"/>
          <w:lang w:bidi="ar-IQ"/>
        </w:rPr>
        <w:t>,16</w:t>
      </w:r>
      <w:r w:rsidR="00372615" w:rsidRPr="008132E8">
        <w:rPr>
          <w:rFonts w:ascii="Times New Roman" w:hAnsi="Times New Roman" w:cs="Times New Roman"/>
          <w:b/>
          <w:bCs/>
          <w:sz w:val="28"/>
          <w:szCs w:val="28"/>
          <w:vertAlign w:val="superscript"/>
          <w:lang w:bidi="ar-IQ"/>
        </w:rPr>
        <w:t>]</w:t>
      </w:r>
      <w:r w:rsidR="00372615" w:rsidRPr="008132E8">
        <w:rPr>
          <w:rFonts w:ascii="Times New Roman" w:hAnsi="Times New Roman" w:cs="Times New Roman"/>
          <w:sz w:val="28"/>
          <w:szCs w:val="28"/>
          <w:lang w:bidi="ar-IQ"/>
        </w:rPr>
        <w:t>.</w:t>
      </w:r>
      <w:r w:rsidR="009501B5" w:rsidRPr="008132E8">
        <w:rPr>
          <w:rFonts w:ascii="Times New Roman" w:hAnsi="Times New Roman" w:cs="Times New Roman"/>
          <w:sz w:val="28"/>
          <w:szCs w:val="28"/>
          <w:lang w:bidi="ar-IQ"/>
        </w:rPr>
        <w:t xml:space="preserve"> The present retrospective study was conducted to </w:t>
      </w:r>
      <w:r w:rsidR="00CB5B86" w:rsidRPr="008132E8">
        <w:rPr>
          <w:rFonts w:ascii="Times New Roman" w:hAnsi="Times New Roman" w:cs="Times New Roman"/>
          <w:sz w:val="28"/>
          <w:szCs w:val="28"/>
          <w:lang w:bidi="ar-IQ"/>
        </w:rPr>
        <w:t xml:space="preserve">determined the annual prevalence of HBV and HCV infections for the period from 2003 to 2008  and to </w:t>
      </w:r>
      <w:r w:rsidR="009501B5" w:rsidRPr="008132E8">
        <w:rPr>
          <w:rFonts w:ascii="Times New Roman" w:hAnsi="Times New Roman" w:cs="Times New Roman"/>
          <w:sz w:val="28"/>
          <w:szCs w:val="28"/>
          <w:lang w:bidi="ar-IQ"/>
        </w:rPr>
        <w:t xml:space="preserve">explore whether a change in the prevalence of </w:t>
      </w:r>
      <w:r w:rsidR="00CB5B86" w:rsidRPr="008132E8">
        <w:rPr>
          <w:rFonts w:ascii="Times New Roman" w:hAnsi="Times New Roman" w:cs="Times New Roman"/>
          <w:sz w:val="28"/>
          <w:szCs w:val="28"/>
          <w:lang w:bidi="ar-IQ"/>
        </w:rPr>
        <w:t>these viral</w:t>
      </w:r>
      <w:r w:rsidR="009501B5" w:rsidRPr="008132E8">
        <w:rPr>
          <w:rFonts w:ascii="Times New Roman" w:hAnsi="Times New Roman" w:cs="Times New Roman"/>
          <w:sz w:val="28"/>
          <w:szCs w:val="28"/>
          <w:lang w:bidi="ar-IQ"/>
        </w:rPr>
        <w:t xml:space="preserve"> infections.</w:t>
      </w:r>
      <w:r w:rsidR="00B47E7D" w:rsidRPr="008132E8">
        <w:rPr>
          <w:rFonts w:ascii="Times New Roman" w:hAnsi="Times New Roman" w:cs="Times New Roman"/>
          <w:color w:val="FF0000"/>
          <w:sz w:val="28"/>
          <w:szCs w:val="28"/>
          <w:lang w:bidi="ar-IQ"/>
        </w:rPr>
        <w:t xml:space="preserve">  </w:t>
      </w:r>
    </w:p>
    <w:p w:rsidR="00A42BB1" w:rsidRPr="008132E8" w:rsidRDefault="00CA5047" w:rsidP="00CB3A3F">
      <w:pPr>
        <w:bidi w:val="0"/>
        <w:spacing w:after="0" w:line="240" w:lineRule="auto"/>
        <w:jc w:val="both"/>
        <w:rPr>
          <w:rFonts w:ascii="Times New Roman" w:hAnsi="Times New Roman" w:cs="Times New Roman"/>
          <w:sz w:val="28"/>
          <w:szCs w:val="28"/>
          <w:lang w:bidi="ar-IQ"/>
        </w:rPr>
      </w:pPr>
      <w:r w:rsidRPr="008132E8">
        <w:rPr>
          <w:rFonts w:ascii="Times New Roman" w:hAnsi="Times New Roman" w:cs="Times New Roman"/>
          <w:b/>
          <w:bCs/>
          <w:sz w:val="28"/>
          <w:szCs w:val="28"/>
          <w:lang w:bidi="ar-IQ"/>
        </w:rPr>
        <w:t>Materials and methods:</w:t>
      </w:r>
      <w:r w:rsidR="00AB70A2" w:rsidRPr="008132E8">
        <w:rPr>
          <w:rFonts w:ascii="Times New Roman" w:hAnsi="Times New Roman" w:cs="Times New Roman"/>
          <w:sz w:val="28"/>
          <w:szCs w:val="28"/>
          <w:lang w:bidi="ar-IQ"/>
        </w:rPr>
        <w:t xml:space="preserve"> </w:t>
      </w:r>
    </w:p>
    <w:p w:rsidR="0032106C" w:rsidRPr="008132E8" w:rsidRDefault="00376B0F" w:rsidP="00CB3A3F">
      <w:pPr>
        <w:bidi w:val="0"/>
        <w:spacing w:after="0"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 xml:space="preserve">    </w:t>
      </w:r>
      <w:r w:rsidR="00AB70A2" w:rsidRPr="008132E8">
        <w:rPr>
          <w:rFonts w:ascii="Times New Roman" w:hAnsi="Times New Roman" w:cs="Times New Roman"/>
          <w:sz w:val="28"/>
          <w:szCs w:val="28"/>
          <w:lang w:bidi="ar-IQ"/>
        </w:rPr>
        <w:t>This study was conducted for the period from 1/February/200</w:t>
      </w:r>
      <w:r w:rsidR="00FF370B" w:rsidRPr="008132E8">
        <w:rPr>
          <w:rFonts w:ascii="Times New Roman" w:hAnsi="Times New Roman" w:cs="Times New Roman"/>
          <w:sz w:val="28"/>
          <w:szCs w:val="28"/>
          <w:lang w:bidi="ar-IQ"/>
        </w:rPr>
        <w:t>3</w:t>
      </w:r>
      <w:r w:rsidR="00AB70A2" w:rsidRPr="008132E8">
        <w:rPr>
          <w:rFonts w:ascii="Times New Roman" w:hAnsi="Times New Roman" w:cs="Times New Roman"/>
          <w:sz w:val="28"/>
          <w:szCs w:val="28"/>
          <w:lang w:bidi="ar-IQ"/>
        </w:rPr>
        <w:t xml:space="preserve"> to 30/April/200</w:t>
      </w:r>
      <w:r w:rsidR="00FF370B" w:rsidRPr="008132E8">
        <w:rPr>
          <w:rFonts w:ascii="Times New Roman" w:hAnsi="Times New Roman" w:cs="Times New Roman"/>
          <w:sz w:val="28"/>
          <w:szCs w:val="28"/>
          <w:lang w:bidi="ar-IQ"/>
        </w:rPr>
        <w:t>8</w:t>
      </w:r>
      <w:r w:rsidR="00AB70A2" w:rsidRPr="008132E8">
        <w:rPr>
          <w:rFonts w:ascii="Times New Roman" w:hAnsi="Times New Roman" w:cs="Times New Roman"/>
          <w:sz w:val="28"/>
          <w:szCs w:val="28"/>
          <w:lang w:bidi="ar-IQ"/>
        </w:rPr>
        <w:t>. Data were extracted from records of the virology unit in the Public Health Laboratory in Baquba.</w:t>
      </w:r>
      <w:r w:rsidR="00FF370B" w:rsidRPr="008132E8">
        <w:rPr>
          <w:rFonts w:ascii="Times New Roman" w:hAnsi="Times New Roman" w:cs="Times New Roman"/>
          <w:sz w:val="28"/>
          <w:szCs w:val="28"/>
          <w:lang w:bidi="ar-IQ"/>
        </w:rPr>
        <w:t xml:space="preserve"> Detection of HBsAg was carried out by enzme-linked immunosorbant assay (ELISA) and confirmed by HBsAg confirmatory test. The anti-HCV antibody was detected by ELISA and confirmed by immunoblot assay. Demographic informations of HBV and HCV positive patients including age, sex, and residence were also collected.</w:t>
      </w:r>
      <w:r w:rsidR="00AB70A2" w:rsidRPr="008132E8">
        <w:rPr>
          <w:rFonts w:ascii="Times New Roman" w:hAnsi="Times New Roman" w:cs="Times New Roman"/>
          <w:sz w:val="28"/>
          <w:szCs w:val="28"/>
          <w:lang w:bidi="ar-IQ"/>
        </w:rPr>
        <w:t xml:space="preserve"> Data were translated to computerized data base and statistically analyzed.</w:t>
      </w:r>
    </w:p>
    <w:p w:rsidR="00A42BB1" w:rsidRPr="008132E8" w:rsidRDefault="00CA5047" w:rsidP="00CB3A3F">
      <w:pPr>
        <w:bidi w:val="0"/>
        <w:spacing w:after="0" w:line="240" w:lineRule="auto"/>
        <w:jc w:val="both"/>
        <w:rPr>
          <w:rFonts w:ascii="Times New Roman" w:hAnsi="Times New Roman" w:cs="Times New Roman"/>
          <w:sz w:val="28"/>
          <w:szCs w:val="28"/>
          <w:lang w:bidi="ar-IQ"/>
        </w:rPr>
      </w:pPr>
      <w:r w:rsidRPr="008132E8">
        <w:rPr>
          <w:rFonts w:ascii="Times New Roman" w:hAnsi="Times New Roman" w:cs="Times New Roman"/>
          <w:b/>
          <w:bCs/>
          <w:sz w:val="28"/>
          <w:szCs w:val="28"/>
          <w:lang w:bidi="ar-IQ"/>
        </w:rPr>
        <w:t>Results:</w:t>
      </w:r>
      <w:r w:rsidR="00A42BB1" w:rsidRPr="008132E8">
        <w:rPr>
          <w:rFonts w:ascii="Times New Roman" w:hAnsi="Times New Roman" w:cs="Times New Roman"/>
          <w:sz w:val="28"/>
          <w:szCs w:val="28"/>
          <w:lang w:bidi="ar-IQ"/>
        </w:rPr>
        <w:t xml:space="preserve"> </w:t>
      </w:r>
    </w:p>
    <w:p w:rsidR="00CA5047" w:rsidRPr="008132E8" w:rsidRDefault="00376B0F" w:rsidP="00CB3A3F">
      <w:pPr>
        <w:bidi w:val="0"/>
        <w:spacing w:after="0"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 xml:space="preserve">    </w:t>
      </w:r>
      <w:r w:rsidR="00CA5047" w:rsidRPr="008132E8">
        <w:rPr>
          <w:rFonts w:ascii="Times New Roman" w:hAnsi="Times New Roman" w:cs="Times New Roman"/>
          <w:sz w:val="28"/>
          <w:szCs w:val="28"/>
          <w:lang w:bidi="ar-IQ"/>
        </w:rPr>
        <w:t xml:space="preserve">Results presented in table (1) revealed the annual </w:t>
      </w:r>
      <w:r w:rsidR="004E6CA7" w:rsidRPr="008132E8">
        <w:rPr>
          <w:rFonts w:ascii="Times New Roman" w:hAnsi="Times New Roman" w:cs="Times New Roman"/>
          <w:sz w:val="28"/>
          <w:szCs w:val="28"/>
          <w:lang w:bidi="ar-IQ"/>
        </w:rPr>
        <w:t>sero</w:t>
      </w:r>
      <w:r w:rsidR="00CA5047" w:rsidRPr="008132E8">
        <w:rPr>
          <w:rFonts w:ascii="Times New Roman" w:hAnsi="Times New Roman" w:cs="Times New Roman"/>
          <w:sz w:val="28"/>
          <w:szCs w:val="28"/>
          <w:lang w:bidi="ar-IQ"/>
        </w:rPr>
        <w:t xml:space="preserve">prevalence rate (per 1000 tested samples) of HBV infection throughout the study period. The highest </w:t>
      </w:r>
      <w:r w:rsidR="004E6CA7" w:rsidRPr="008132E8">
        <w:rPr>
          <w:rFonts w:ascii="Times New Roman" w:hAnsi="Times New Roman" w:cs="Times New Roman"/>
          <w:sz w:val="28"/>
          <w:szCs w:val="28"/>
          <w:lang w:bidi="ar-IQ"/>
        </w:rPr>
        <w:t>sero</w:t>
      </w:r>
      <w:r w:rsidR="00CA5047" w:rsidRPr="008132E8">
        <w:rPr>
          <w:rFonts w:ascii="Times New Roman" w:hAnsi="Times New Roman" w:cs="Times New Roman"/>
          <w:sz w:val="28"/>
          <w:szCs w:val="28"/>
          <w:lang w:bidi="ar-IQ"/>
        </w:rPr>
        <w:t>prevalence rate was found in 2004 (5.5/1000 tested samples) with a 95% confidence interval range (4.7-6.3)</w:t>
      </w:r>
      <w:r w:rsidR="00A13893" w:rsidRPr="008132E8">
        <w:rPr>
          <w:rFonts w:ascii="Times New Roman" w:hAnsi="Times New Roman" w:cs="Times New Roman"/>
          <w:sz w:val="28"/>
          <w:szCs w:val="28"/>
          <w:lang w:bidi="ar-IQ"/>
        </w:rPr>
        <w:t>.</w:t>
      </w:r>
    </w:p>
    <w:p w:rsidR="00A13893" w:rsidRPr="008132E8" w:rsidRDefault="00630637" w:rsidP="00A42BB1">
      <w:pPr>
        <w:bidi w:val="0"/>
        <w:spacing w:line="20" w:lineRule="atLeast"/>
        <w:jc w:val="center"/>
        <w:rPr>
          <w:rFonts w:ascii="Times New Roman" w:hAnsi="Times New Roman" w:cs="Times New Roman"/>
          <w:b/>
          <w:bCs/>
          <w:sz w:val="28"/>
          <w:szCs w:val="28"/>
          <w:lang w:bidi="ar-IQ"/>
        </w:rPr>
      </w:pPr>
      <w:r w:rsidRPr="008132E8">
        <w:rPr>
          <w:rFonts w:ascii="Times New Roman" w:hAnsi="Times New Roman" w:cs="Times New Roman"/>
          <w:b/>
          <w:bCs/>
          <w:sz w:val="28"/>
          <w:szCs w:val="28"/>
          <w:lang w:bidi="ar-IQ"/>
        </w:rPr>
        <w:t>Table (1) Annual prevalence of HBV infection during study period.</w:t>
      </w:r>
    </w:p>
    <w:tbl>
      <w:tblPr>
        <w:tblStyle w:val="TableGrid"/>
        <w:tblW w:w="8897" w:type="dxa"/>
        <w:tblLook w:val="04A0"/>
      </w:tblPr>
      <w:tblGrid>
        <w:gridCol w:w="1384"/>
        <w:gridCol w:w="1418"/>
        <w:gridCol w:w="1559"/>
        <w:gridCol w:w="2456"/>
        <w:gridCol w:w="2080"/>
      </w:tblGrid>
      <w:tr w:rsidR="00A13893" w:rsidRPr="008132E8" w:rsidTr="00A13893">
        <w:tc>
          <w:tcPr>
            <w:tcW w:w="1384" w:type="dxa"/>
          </w:tcPr>
          <w:p w:rsidR="00A13893" w:rsidRPr="008132E8" w:rsidRDefault="00A13893" w:rsidP="00A13893">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Year</w:t>
            </w:r>
          </w:p>
        </w:tc>
        <w:tc>
          <w:tcPr>
            <w:tcW w:w="1418" w:type="dxa"/>
          </w:tcPr>
          <w:p w:rsidR="00A13893" w:rsidRPr="008132E8" w:rsidRDefault="00A13893" w:rsidP="00A13893">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No. tested</w:t>
            </w:r>
          </w:p>
        </w:tc>
        <w:tc>
          <w:tcPr>
            <w:tcW w:w="1559" w:type="dxa"/>
          </w:tcPr>
          <w:p w:rsidR="00A13893" w:rsidRPr="008132E8" w:rsidRDefault="00A13893" w:rsidP="00A13893">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No. positive</w:t>
            </w:r>
          </w:p>
        </w:tc>
        <w:tc>
          <w:tcPr>
            <w:tcW w:w="2456" w:type="dxa"/>
          </w:tcPr>
          <w:p w:rsidR="00A13893" w:rsidRPr="008132E8" w:rsidRDefault="00A13893" w:rsidP="00A13893">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Annual prevalence</w:t>
            </w:r>
          </w:p>
          <w:p w:rsidR="00A13893" w:rsidRPr="008132E8" w:rsidRDefault="00A13893" w:rsidP="00A13893">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(per 1000)</w:t>
            </w:r>
          </w:p>
        </w:tc>
        <w:tc>
          <w:tcPr>
            <w:tcW w:w="2080" w:type="dxa"/>
          </w:tcPr>
          <w:p w:rsidR="00A13893" w:rsidRPr="008132E8" w:rsidRDefault="00A13893" w:rsidP="00A13893">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95% CI for prevalence (per 1000)</w:t>
            </w:r>
          </w:p>
        </w:tc>
      </w:tr>
      <w:tr w:rsidR="00A13893" w:rsidRPr="008132E8" w:rsidTr="00A13893">
        <w:tc>
          <w:tcPr>
            <w:tcW w:w="1384" w:type="dxa"/>
          </w:tcPr>
          <w:p w:rsidR="00A13893" w:rsidRPr="008132E8" w:rsidRDefault="00A13893" w:rsidP="00A13893">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2003</w:t>
            </w:r>
          </w:p>
        </w:tc>
        <w:tc>
          <w:tcPr>
            <w:tcW w:w="1418" w:type="dxa"/>
          </w:tcPr>
          <w:p w:rsidR="00A13893" w:rsidRPr="008132E8" w:rsidRDefault="00A13893"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22324</w:t>
            </w:r>
          </w:p>
        </w:tc>
        <w:tc>
          <w:tcPr>
            <w:tcW w:w="1559"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97</w:t>
            </w:r>
          </w:p>
        </w:tc>
        <w:tc>
          <w:tcPr>
            <w:tcW w:w="2456"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4.3</w:t>
            </w:r>
          </w:p>
        </w:tc>
        <w:tc>
          <w:tcPr>
            <w:tcW w:w="2080"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(3.5-5.2)</w:t>
            </w:r>
          </w:p>
        </w:tc>
      </w:tr>
      <w:tr w:rsidR="00A13893" w:rsidRPr="008132E8" w:rsidTr="00A13893">
        <w:tc>
          <w:tcPr>
            <w:tcW w:w="1384" w:type="dxa"/>
          </w:tcPr>
          <w:p w:rsidR="00A13893" w:rsidRPr="008132E8" w:rsidRDefault="00A13893" w:rsidP="00A13893">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2004</w:t>
            </w:r>
          </w:p>
        </w:tc>
        <w:tc>
          <w:tcPr>
            <w:tcW w:w="1418" w:type="dxa"/>
          </w:tcPr>
          <w:p w:rsidR="00A13893" w:rsidRPr="008132E8" w:rsidRDefault="00A13893"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32685</w:t>
            </w:r>
          </w:p>
        </w:tc>
        <w:tc>
          <w:tcPr>
            <w:tcW w:w="1559"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181</w:t>
            </w:r>
          </w:p>
        </w:tc>
        <w:tc>
          <w:tcPr>
            <w:tcW w:w="2456"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5.5</w:t>
            </w:r>
          </w:p>
        </w:tc>
        <w:tc>
          <w:tcPr>
            <w:tcW w:w="2080"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(4.7-6.3)</w:t>
            </w:r>
          </w:p>
        </w:tc>
      </w:tr>
      <w:tr w:rsidR="00A13893" w:rsidRPr="008132E8" w:rsidTr="00A13893">
        <w:tc>
          <w:tcPr>
            <w:tcW w:w="1384" w:type="dxa"/>
          </w:tcPr>
          <w:p w:rsidR="00A13893" w:rsidRPr="008132E8" w:rsidRDefault="00A13893" w:rsidP="00A13893">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2005</w:t>
            </w:r>
          </w:p>
        </w:tc>
        <w:tc>
          <w:tcPr>
            <w:tcW w:w="1418" w:type="dxa"/>
          </w:tcPr>
          <w:p w:rsidR="00A13893" w:rsidRPr="008132E8" w:rsidRDefault="00A13893"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12727</w:t>
            </w:r>
          </w:p>
        </w:tc>
        <w:tc>
          <w:tcPr>
            <w:tcW w:w="1559"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27</w:t>
            </w:r>
          </w:p>
        </w:tc>
        <w:tc>
          <w:tcPr>
            <w:tcW w:w="2456"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2.1</w:t>
            </w:r>
          </w:p>
        </w:tc>
        <w:tc>
          <w:tcPr>
            <w:tcW w:w="2080"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(1.3-2.9)</w:t>
            </w:r>
          </w:p>
        </w:tc>
      </w:tr>
      <w:tr w:rsidR="00A13893" w:rsidRPr="008132E8" w:rsidTr="00A13893">
        <w:tc>
          <w:tcPr>
            <w:tcW w:w="1384" w:type="dxa"/>
          </w:tcPr>
          <w:p w:rsidR="00A13893" w:rsidRPr="008132E8" w:rsidRDefault="00A13893" w:rsidP="00A13893">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2006</w:t>
            </w:r>
          </w:p>
        </w:tc>
        <w:tc>
          <w:tcPr>
            <w:tcW w:w="1418" w:type="dxa"/>
          </w:tcPr>
          <w:p w:rsidR="00A13893" w:rsidRPr="008132E8" w:rsidRDefault="00A13893"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25544</w:t>
            </w:r>
          </w:p>
        </w:tc>
        <w:tc>
          <w:tcPr>
            <w:tcW w:w="1559"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98</w:t>
            </w:r>
          </w:p>
        </w:tc>
        <w:tc>
          <w:tcPr>
            <w:tcW w:w="2456"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3.8</w:t>
            </w:r>
          </w:p>
        </w:tc>
        <w:tc>
          <w:tcPr>
            <w:tcW w:w="2080"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(3.1-4.6)</w:t>
            </w:r>
          </w:p>
        </w:tc>
      </w:tr>
      <w:tr w:rsidR="00A13893" w:rsidRPr="008132E8" w:rsidTr="00A13893">
        <w:tc>
          <w:tcPr>
            <w:tcW w:w="1384" w:type="dxa"/>
          </w:tcPr>
          <w:p w:rsidR="00A13893" w:rsidRPr="008132E8" w:rsidRDefault="00A13893" w:rsidP="00A13893">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2007</w:t>
            </w:r>
          </w:p>
        </w:tc>
        <w:tc>
          <w:tcPr>
            <w:tcW w:w="1418" w:type="dxa"/>
          </w:tcPr>
          <w:p w:rsidR="00A13893" w:rsidRPr="008132E8" w:rsidRDefault="00A13893"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10075</w:t>
            </w:r>
          </w:p>
        </w:tc>
        <w:tc>
          <w:tcPr>
            <w:tcW w:w="1559"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26</w:t>
            </w:r>
          </w:p>
        </w:tc>
        <w:tc>
          <w:tcPr>
            <w:tcW w:w="2456"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2.6</w:t>
            </w:r>
          </w:p>
        </w:tc>
        <w:tc>
          <w:tcPr>
            <w:tcW w:w="2080"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(1.6-3.6)</w:t>
            </w:r>
          </w:p>
        </w:tc>
      </w:tr>
      <w:tr w:rsidR="00A13893" w:rsidRPr="008132E8" w:rsidTr="00A13893">
        <w:tc>
          <w:tcPr>
            <w:tcW w:w="1384" w:type="dxa"/>
          </w:tcPr>
          <w:p w:rsidR="00A13893" w:rsidRPr="008132E8" w:rsidRDefault="00A13893" w:rsidP="00A13893">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2008</w:t>
            </w:r>
          </w:p>
        </w:tc>
        <w:tc>
          <w:tcPr>
            <w:tcW w:w="1418" w:type="dxa"/>
          </w:tcPr>
          <w:p w:rsidR="00A13893" w:rsidRPr="008132E8" w:rsidRDefault="00A13893"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17105</w:t>
            </w:r>
          </w:p>
        </w:tc>
        <w:tc>
          <w:tcPr>
            <w:tcW w:w="1559"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46</w:t>
            </w:r>
          </w:p>
        </w:tc>
        <w:tc>
          <w:tcPr>
            <w:tcW w:w="2456"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2.7</w:t>
            </w:r>
          </w:p>
        </w:tc>
        <w:tc>
          <w:tcPr>
            <w:tcW w:w="2080"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(1.9-3.5)</w:t>
            </w:r>
          </w:p>
        </w:tc>
      </w:tr>
      <w:tr w:rsidR="00A13893" w:rsidRPr="008132E8" w:rsidTr="00A13893">
        <w:tc>
          <w:tcPr>
            <w:tcW w:w="1384" w:type="dxa"/>
          </w:tcPr>
          <w:p w:rsidR="00A13893" w:rsidRPr="008132E8" w:rsidRDefault="00A13893" w:rsidP="00A13893">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Total</w:t>
            </w:r>
          </w:p>
        </w:tc>
        <w:tc>
          <w:tcPr>
            <w:tcW w:w="1418" w:type="dxa"/>
          </w:tcPr>
          <w:p w:rsidR="00A13893" w:rsidRPr="008132E8" w:rsidRDefault="00A13893"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120460</w:t>
            </w:r>
          </w:p>
        </w:tc>
        <w:tc>
          <w:tcPr>
            <w:tcW w:w="1559"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475</w:t>
            </w:r>
          </w:p>
        </w:tc>
        <w:tc>
          <w:tcPr>
            <w:tcW w:w="2456"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3.9</w:t>
            </w:r>
          </w:p>
        </w:tc>
        <w:tc>
          <w:tcPr>
            <w:tcW w:w="2080" w:type="dxa"/>
          </w:tcPr>
          <w:p w:rsidR="00A13893" w:rsidRPr="008132E8" w:rsidRDefault="00D455B8" w:rsidP="00ED17D6">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(3.6-4.3)</w:t>
            </w:r>
          </w:p>
        </w:tc>
      </w:tr>
    </w:tbl>
    <w:p w:rsidR="00CD39E7" w:rsidRPr="008132E8" w:rsidRDefault="00376B0F" w:rsidP="00376B0F">
      <w:pPr>
        <w:bidi w:val="0"/>
        <w:spacing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 xml:space="preserve">    </w:t>
      </w:r>
      <w:r w:rsidR="00CD39E7" w:rsidRPr="008132E8">
        <w:rPr>
          <w:rFonts w:ascii="Times New Roman" w:hAnsi="Times New Roman" w:cs="Times New Roman"/>
          <w:sz w:val="28"/>
          <w:szCs w:val="28"/>
          <w:lang w:bidi="ar-IQ"/>
        </w:rPr>
        <w:t xml:space="preserve">Results presented in table (2) revealed the annual </w:t>
      </w:r>
      <w:r w:rsidR="004E6CA7" w:rsidRPr="008132E8">
        <w:rPr>
          <w:rFonts w:ascii="Times New Roman" w:hAnsi="Times New Roman" w:cs="Times New Roman"/>
          <w:sz w:val="28"/>
          <w:szCs w:val="28"/>
          <w:lang w:bidi="ar-IQ"/>
        </w:rPr>
        <w:t>sero</w:t>
      </w:r>
      <w:r w:rsidR="00CD39E7" w:rsidRPr="008132E8">
        <w:rPr>
          <w:rFonts w:ascii="Times New Roman" w:hAnsi="Times New Roman" w:cs="Times New Roman"/>
          <w:sz w:val="28"/>
          <w:szCs w:val="28"/>
          <w:lang w:bidi="ar-IQ"/>
        </w:rPr>
        <w:t xml:space="preserve">prevalence rate (per 1000 tested samples) of HCV infection throughout the study period. The highest </w:t>
      </w:r>
      <w:r w:rsidR="004E6CA7" w:rsidRPr="008132E8">
        <w:rPr>
          <w:rFonts w:ascii="Times New Roman" w:hAnsi="Times New Roman" w:cs="Times New Roman"/>
          <w:sz w:val="28"/>
          <w:szCs w:val="28"/>
          <w:lang w:bidi="ar-IQ"/>
        </w:rPr>
        <w:t>sero</w:t>
      </w:r>
      <w:r w:rsidR="00CD39E7" w:rsidRPr="008132E8">
        <w:rPr>
          <w:rFonts w:ascii="Times New Roman" w:hAnsi="Times New Roman" w:cs="Times New Roman"/>
          <w:sz w:val="28"/>
          <w:szCs w:val="28"/>
          <w:lang w:bidi="ar-IQ"/>
        </w:rPr>
        <w:t>prevalence rate was found in 2004 (2.5/1000 tested samples) with a 95% confidence interval range (2-3.1).</w:t>
      </w:r>
    </w:p>
    <w:p w:rsidR="00DE6131" w:rsidRPr="008132E8" w:rsidRDefault="00DE6131" w:rsidP="0032106C">
      <w:pPr>
        <w:bidi w:val="0"/>
        <w:spacing w:line="240" w:lineRule="auto"/>
        <w:jc w:val="center"/>
        <w:rPr>
          <w:rFonts w:ascii="Times New Roman" w:hAnsi="Times New Roman" w:cs="Times New Roman"/>
          <w:b/>
          <w:bCs/>
          <w:sz w:val="28"/>
          <w:szCs w:val="28"/>
          <w:lang w:bidi="ar-IQ"/>
        </w:rPr>
      </w:pPr>
      <w:r w:rsidRPr="008132E8">
        <w:rPr>
          <w:rFonts w:ascii="Times New Roman" w:hAnsi="Times New Roman" w:cs="Times New Roman"/>
          <w:b/>
          <w:bCs/>
          <w:sz w:val="28"/>
          <w:szCs w:val="28"/>
          <w:lang w:bidi="ar-IQ"/>
        </w:rPr>
        <w:t>Table (2): Annual prevalence of HCV infection during study period.</w:t>
      </w:r>
    </w:p>
    <w:tbl>
      <w:tblPr>
        <w:tblStyle w:val="TableGrid"/>
        <w:tblW w:w="8897" w:type="dxa"/>
        <w:tblLook w:val="04A0"/>
      </w:tblPr>
      <w:tblGrid>
        <w:gridCol w:w="1384"/>
        <w:gridCol w:w="1418"/>
        <w:gridCol w:w="1559"/>
        <w:gridCol w:w="2456"/>
        <w:gridCol w:w="2080"/>
      </w:tblGrid>
      <w:tr w:rsidR="00DE6131" w:rsidRPr="008132E8" w:rsidTr="005A2238">
        <w:tc>
          <w:tcPr>
            <w:tcW w:w="1384"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lastRenderedPageBreak/>
              <w:t>Year</w:t>
            </w:r>
          </w:p>
        </w:tc>
        <w:tc>
          <w:tcPr>
            <w:tcW w:w="1418"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No. tested</w:t>
            </w:r>
          </w:p>
        </w:tc>
        <w:tc>
          <w:tcPr>
            <w:tcW w:w="1559"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No. positive</w:t>
            </w:r>
          </w:p>
        </w:tc>
        <w:tc>
          <w:tcPr>
            <w:tcW w:w="2456"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Annual prevalence</w:t>
            </w:r>
          </w:p>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(per 1000)</w:t>
            </w:r>
          </w:p>
        </w:tc>
        <w:tc>
          <w:tcPr>
            <w:tcW w:w="2080"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95% CI for prevalence (per 1000)</w:t>
            </w:r>
          </w:p>
        </w:tc>
      </w:tr>
      <w:tr w:rsidR="00DE6131" w:rsidRPr="008132E8" w:rsidTr="005A2238">
        <w:tc>
          <w:tcPr>
            <w:tcW w:w="1384" w:type="dxa"/>
          </w:tcPr>
          <w:p w:rsidR="00DE6131" w:rsidRPr="008132E8" w:rsidRDefault="00DE6131" w:rsidP="005A2238">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2003</w:t>
            </w:r>
          </w:p>
        </w:tc>
        <w:tc>
          <w:tcPr>
            <w:tcW w:w="1418"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22324</w:t>
            </w:r>
          </w:p>
        </w:tc>
        <w:tc>
          <w:tcPr>
            <w:tcW w:w="1559"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33</w:t>
            </w:r>
          </w:p>
        </w:tc>
        <w:tc>
          <w:tcPr>
            <w:tcW w:w="2456" w:type="dxa"/>
          </w:tcPr>
          <w:p w:rsidR="00DE6131" w:rsidRPr="008132E8" w:rsidRDefault="00DE6131" w:rsidP="00D661C1">
            <w:pPr>
              <w:tabs>
                <w:tab w:val="left" w:pos="450"/>
              </w:tabs>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1.5</w:t>
            </w:r>
          </w:p>
        </w:tc>
        <w:tc>
          <w:tcPr>
            <w:tcW w:w="2080" w:type="dxa"/>
          </w:tcPr>
          <w:p w:rsidR="00DE6131" w:rsidRPr="008132E8" w:rsidRDefault="00D661C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(1-2)</w:t>
            </w:r>
          </w:p>
        </w:tc>
      </w:tr>
      <w:tr w:rsidR="00DE6131" w:rsidRPr="008132E8" w:rsidTr="005A2238">
        <w:tc>
          <w:tcPr>
            <w:tcW w:w="1384" w:type="dxa"/>
          </w:tcPr>
          <w:p w:rsidR="00DE6131" w:rsidRPr="008132E8" w:rsidRDefault="00DE6131" w:rsidP="005A2238">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2004</w:t>
            </w:r>
          </w:p>
        </w:tc>
        <w:tc>
          <w:tcPr>
            <w:tcW w:w="1418"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32685</w:t>
            </w:r>
          </w:p>
        </w:tc>
        <w:tc>
          <w:tcPr>
            <w:tcW w:w="1559"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83</w:t>
            </w:r>
          </w:p>
        </w:tc>
        <w:tc>
          <w:tcPr>
            <w:tcW w:w="2456" w:type="dxa"/>
          </w:tcPr>
          <w:p w:rsidR="00DE6131" w:rsidRPr="008132E8" w:rsidRDefault="00DE6131" w:rsidP="00D661C1">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2.5</w:t>
            </w:r>
          </w:p>
        </w:tc>
        <w:tc>
          <w:tcPr>
            <w:tcW w:w="2080" w:type="dxa"/>
          </w:tcPr>
          <w:p w:rsidR="00DE6131" w:rsidRPr="008132E8" w:rsidRDefault="00D661C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(2-3.1)</w:t>
            </w:r>
          </w:p>
        </w:tc>
      </w:tr>
      <w:tr w:rsidR="00DE6131" w:rsidRPr="008132E8" w:rsidTr="005A2238">
        <w:tc>
          <w:tcPr>
            <w:tcW w:w="1384" w:type="dxa"/>
          </w:tcPr>
          <w:p w:rsidR="00DE6131" w:rsidRPr="008132E8" w:rsidRDefault="00DE6131" w:rsidP="005A2238">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2005</w:t>
            </w:r>
          </w:p>
        </w:tc>
        <w:tc>
          <w:tcPr>
            <w:tcW w:w="1418"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12727</w:t>
            </w:r>
          </w:p>
        </w:tc>
        <w:tc>
          <w:tcPr>
            <w:tcW w:w="1559"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8</w:t>
            </w:r>
          </w:p>
        </w:tc>
        <w:tc>
          <w:tcPr>
            <w:tcW w:w="2456" w:type="dxa"/>
          </w:tcPr>
          <w:p w:rsidR="00DE6131" w:rsidRPr="008132E8" w:rsidRDefault="00DE6131" w:rsidP="00D661C1">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0.6</w:t>
            </w:r>
          </w:p>
        </w:tc>
        <w:tc>
          <w:tcPr>
            <w:tcW w:w="2080" w:type="dxa"/>
          </w:tcPr>
          <w:p w:rsidR="00DE6131" w:rsidRPr="008132E8" w:rsidRDefault="00D661C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(0.2-1.1)</w:t>
            </w:r>
          </w:p>
        </w:tc>
      </w:tr>
      <w:tr w:rsidR="00DE6131" w:rsidRPr="008132E8" w:rsidTr="005A2238">
        <w:tc>
          <w:tcPr>
            <w:tcW w:w="1384" w:type="dxa"/>
          </w:tcPr>
          <w:p w:rsidR="00DE6131" w:rsidRPr="008132E8" w:rsidRDefault="00DE6131" w:rsidP="005A2238">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2006</w:t>
            </w:r>
          </w:p>
        </w:tc>
        <w:tc>
          <w:tcPr>
            <w:tcW w:w="1418"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25544</w:t>
            </w:r>
          </w:p>
        </w:tc>
        <w:tc>
          <w:tcPr>
            <w:tcW w:w="1559"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45</w:t>
            </w:r>
          </w:p>
        </w:tc>
        <w:tc>
          <w:tcPr>
            <w:tcW w:w="2456" w:type="dxa"/>
          </w:tcPr>
          <w:p w:rsidR="00DE6131" w:rsidRPr="008132E8" w:rsidRDefault="00DE6131" w:rsidP="00D661C1">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1.8</w:t>
            </w:r>
          </w:p>
        </w:tc>
        <w:tc>
          <w:tcPr>
            <w:tcW w:w="2080" w:type="dxa"/>
          </w:tcPr>
          <w:p w:rsidR="00DE6131" w:rsidRPr="008132E8" w:rsidRDefault="00D661C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(1.2-2.3)</w:t>
            </w:r>
          </w:p>
        </w:tc>
      </w:tr>
      <w:tr w:rsidR="00DE6131" w:rsidRPr="008132E8" w:rsidTr="005A2238">
        <w:tc>
          <w:tcPr>
            <w:tcW w:w="1384" w:type="dxa"/>
          </w:tcPr>
          <w:p w:rsidR="00DE6131" w:rsidRPr="008132E8" w:rsidRDefault="00DE6131" w:rsidP="005A2238">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2007</w:t>
            </w:r>
          </w:p>
        </w:tc>
        <w:tc>
          <w:tcPr>
            <w:tcW w:w="1418"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10075</w:t>
            </w:r>
          </w:p>
        </w:tc>
        <w:tc>
          <w:tcPr>
            <w:tcW w:w="1559"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w:t>
            </w:r>
          </w:p>
        </w:tc>
        <w:tc>
          <w:tcPr>
            <w:tcW w:w="2456" w:type="dxa"/>
          </w:tcPr>
          <w:p w:rsidR="00DE6131" w:rsidRPr="008132E8" w:rsidRDefault="00DE6131" w:rsidP="00D661C1">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0.4</w:t>
            </w:r>
          </w:p>
        </w:tc>
        <w:tc>
          <w:tcPr>
            <w:tcW w:w="2080" w:type="dxa"/>
          </w:tcPr>
          <w:p w:rsidR="00DE6131" w:rsidRPr="008132E8" w:rsidRDefault="00D661C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(0-0.8)</w:t>
            </w:r>
          </w:p>
        </w:tc>
      </w:tr>
      <w:tr w:rsidR="00DE6131" w:rsidRPr="008132E8" w:rsidTr="005A2238">
        <w:tc>
          <w:tcPr>
            <w:tcW w:w="1384" w:type="dxa"/>
          </w:tcPr>
          <w:p w:rsidR="00DE6131" w:rsidRPr="008132E8" w:rsidRDefault="00DE6131" w:rsidP="005A2238">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2008</w:t>
            </w:r>
          </w:p>
        </w:tc>
        <w:tc>
          <w:tcPr>
            <w:tcW w:w="1418"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17105</w:t>
            </w:r>
          </w:p>
        </w:tc>
        <w:tc>
          <w:tcPr>
            <w:tcW w:w="1559"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23</w:t>
            </w:r>
          </w:p>
        </w:tc>
        <w:tc>
          <w:tcPr>
            <w:tcW w:w="2456" w:type="dxa"/>
          </w:tcPr>
          <w:p w:rsidR="00DE6131" w:rsidRPr="008132E8" w:rsidRDefault="00DE6131" w:rsidP="00D661C1">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1.3</w:t>
            </w:r>
          </w:p>
        </w:tc>
        <w:tc>
          <w:tcPr>
            <w:tcW w:w="2080" w:type="dxa"/>
          </w:tcPr>
          <w:p w:rsidR="00DE6131" w:rsidRPr="008132E8" w:rsidRDefault="00D661C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(0.8-1.9)</w:t>
            </w:r>
          </w:p>
        </w:tc>
      </w:tr>
      <w:tr w:rsidR="00DE6131" w:rsidRPr="008132E8" w:rsidTr="005A2238">
        <w:tc>
          <w:tcPr>
            <w:tcW w:w="1384" w:type="dxa"/>
          </w:tcPr>
          <w:p w:rsidR="00DE6131" w:rsidRPr="008132E8" w:rsidRDefault="00DE6131" w:rsidP="005A2238">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Total</w:t>
            </w:r>
          </w:p>
        </w:tc>
        <w:tc>
          <w:tcPr>
            <w:tcW w:w="1418"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120460</w:t>
            </w:r>
          </w:p>
        </w:tc>
        <w:tc>
          <w:tcPr>
            <w:tcW w:w="1559" w:type="dxa"/>
          </w:tcPr>
          <w:p w:rsidR="00DE6131" w:rsidRPr="008132E8" w:rsidRDefault="00DE613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196</w:t>
            </w:r>
          </w:p>
        </w:tc>
        <w:tc>
          <w:tcPr>
            <w:tcW w:w="2456" w:type="dxa"/>
          </w:tcPr>
          <w:p w:rsidR="00DE6131" w:rsidRPr="008132E8" w:rsidRDefault="00DE6131" w:rsidP="00D661C1">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1.6</w:t>
            </w:r>
          </w:p>
        </w:tc>
        <w:tc>
          <w:tcPr>
            <w:tcW w:w="2080" w:type="dxa"/>
          </w:tcPr>
          <w:p w:rsidR="00DE6131" w:rsidRPr="008132E8" w:rsidRDefault="00D661C1" w:rsidP="005A223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(1.4-1.9)</w:t>
            </w:r>
          </w:p>
        </w:tc>
      </w:tr>
    </w:tbl>
    <w:p w:rsidR="00001F78" w:rsidRPr="008132E8" w:rsidRDefault="00376B0F" w:rsidP="0032106C">
      <w:pPr>
        <w:bidi w:val="0"/>
        <w:spacing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 xml:space="preserve">    </w:t>
      </w:r>
      <w:r w:rsidR="00001F78" w:rsidRPr="008132E8">
        <w:rPr>
          <w:rFonts w:ascii="Times New Roman" w:hAnsi="Times New Roman" w:cs="Times New Roman"/>
          <w:sz w:val="28"/>
          <w:szCs w:val="28"/>
          <w:lang w:bidi="ar-IQ"/>
        </w:rPr>
        <w:t xml:space="preserve">The distribution of HBV and HCV positive </w:t>
      </w:r>
      <w:r w:rsidR="00D14F50" w:rsidRPr="008132E8">
        <w:rPr>
          <w:rFonts w:ascii="Times New Roman" w:hAnsi="Times New Roman" w:cs="Times New Roman"/>
          <w:sz w:val="28"/>
          <w:szCs w:val="28"/>
          <w:lang w:bidi="ar-IQ"/>
        </w:rPr>
        <w:t>cases</w:t>
      </w:r>
      <w:r w:rsidR="00001F78" w:rsidRPr="008132E8">
        <w:rPr>
          <w:rFonts w:ascii="Times New Roman" w:hAnsi="Times New Roman" w:cs="Times New Roman"/>
          <w:sz w:val="28"/>
          <w:szCs w:val="28"/>
          <w:lang w:bidi="ar-IQ"/>
        </w:rPr>
        <w:t xml:space="preserve"> by year throughout the study period was shown in table (3) and figure (1).</w:t>
      </w:r>
    </w:p>
    <w:p w:rsidR="00001F78" w:rsidRPr="008132E8" w:rsidRDefault="008B65D1" w:rsidP="0032106C">
      <w:pPr>
        <w:bidi w:val="0"/>
        <w:spacing w:line="240" w:lineRule="auto"/>
        <w:jc w:val="center"/>
        <w:rPr>
          <w:rFonts w:ascii="Times New Roman" w:hAnsi="Times New Roman" w:cs="Times New Roman"/>
          <w:b/>
          <w:bCs/>
          <w:sz w:val="28"/>
          <w:szCs w:val="28"/>
          <w:lang w:bidi="ar-IQ"/>
        </w:rPr>
      </w:pPr>
      <w:r w:rsidRPr="008132E8">
        <w:rPr>
          <w:rFonts w:ascii="Times New Roman" w:hAnsi="Times New Roman" w:cs="Times New Roman"/>
          <w:b/>
          <w:bCs/>
          <w:sz w:val="28"/>
          <w:szCs w:val="28"/>
          <w:lang w:bidi="ar-IQ"/>
        </w:rPr>
        <w:t>Table (3): HBV and HCV positive cases by year.</w:t>
      </w:r>
    </w:p>
    <w:tbl>
      <w:tblPr>
        <w:tblStyle w:val="TableGrid"/>
        <w:tblW w:w="8897" w:type="dxa"/>
        <w:tblLook w:val="04A0"/>
      </w:tblPr>
      <w:tblGrid>
        <w:gridCol w:w="1384"/>
        <w:gridCol w:w="992"/>
        <w:gridCol w:w="1134"/>
        <w:gridCol w:w="993"/>
        <w:gridCol w:w="1134"/>
        <w:gridCol w:w="992"/>
        <w:gridCol w:w="1134"/>
        <w:gridCol w:w="1134"/>
      </w:tblGrid>
      <w:tr w:rsidR="00001F78" w:rsidRPr="008132E8" w:rsidTr="00001F78">
        <w:tc>
          <w:tcPr>
            <w:tcW w:w="1384" w:type="dxa"/>
            <w:vMerge w:val="restart"/>
          </w:tcPr>
          <w:p w:rsidR="00001F78" w:rsidRPr="008132E8" w:rsidRDefault="00001F78" w:rsidP="00001F78">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Type of infection</w:t>
            </w:r>
          </w:p>
        </w:tc>
        <w:tc>
          <w:tcPr>
            <w:tcW w:w="7513" w:type="dxa"/>
            <w:gridSpan w:val="7"/>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Year</w:t>
            </w:r>
          </w:p>
        </w:tc>
      </w:tr>
      <w:tr w:rsidR="00001F78" w:rsidRPr="008132E8" w:rsidTr="00001F78">
        <w:tc>
          <w:tcPr>
            <w:tcW w:w="1384" w:type="dxa"/>
            <w:vMerge/>
          </w:tcPr>
          <w:p w:rsidR="00001F78" w:rsidRPr="008132E8" w:rsidRDefault="00001F78" w:rsidP="00001F78">
            <w:pPr>
              <w:bidi w:val="0"/>
              <w:jc w:val="both"/>
              <w:rPr>
                <w:rFonts w:ascii="Times New Roman" w:hAnsi="Times New Roman" w:cs="Times New Roman"/>
                <w:sz w:val="28"/>
                <w:szCs w:val="28"/>
                <w:lang w:bidi="ar-IQ"/>
              </w:rPr>
            </w:pPr>
          </w:p>
        </w:tc>
        <w:tc>
          <w:tcPr>
            <w:tcW w:w="992"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2003</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2004</w:t>
            </w:r>
          </w:p>
        </w:tc>
        <w:tc>
          <w:tcPr>
            <w:tcW w:w="993"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2005</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2006</w:t>
            </w:r>
          </w:p>
        </w:tc>
        <w:tc>
          <w:tcPr>
            <w:tcW w:w="992"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2007</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2008</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median</w:t>
            </w:r>
          </w:p>
        </w:tc>
      </w:tr>
      <w:tr w:rsidR="00001F78" w:rsidRPr="008132E8" w:rsidTr="00001F78">
        <w:tc>
          <w:tcPr>
            <w:tcW w:w="1384" w:type="dxa"/>
          </w:tcPr>
          <w:p w:rsidR="00001F78" w:rsidRPr="008132E8" w:rsidRDefault="00001F78" w:rsidP="00001F78">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HBV</w:t>
            </w:r>
          </w:p>
        </w:tc>
        <w:tc>
          <w:tcPr>
            <w:tcW w:w="992"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97</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181</w:t>
            </w:r>
          </w:p>
        </w:tc>
        <w:tc>
          <w:tcPr>
            <w:tcW w:w="993"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27</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98</w:t>
            </w:r>
          </w:p>
        </w:tc>
        <w:tc>
          <w:tcPr>
            <w:tcW w:w="992"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26</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46</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46</w:t>
            </w:r>
          </w:p>
        </w:tc>
      </w:tr>
      <w:tr w:rsidR="00001F78" w:rsidRPr="008132E8" w:rsidTr="00001F78">
        <w:tc>
          <w:tcPr>
            <w:tcW w:w="1384" w:type="dxa"/>
          </w:tcPr>
          <w:p w:rsidR="00001F78" w:rsidRPr="008132E8" w:rsidRDefault="00001F78" w:rsidP="00001F78">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HCV</w:t>
            </w:r>
          </w:p>
        </w:tc>
        <w:tc>
          <w:tcPr>
            <w:tcW w:w="992"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33</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83</w:t>
            </w:r>
          </w:p>
        </w:tc>
        <w:tc>
          <w:tcPr>
            <w:tcW w:w="993"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8</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45</w:t>
            </w:r>
          </w:p>
        </w:tc>
        <w:tc>
          <w:tcPr>
            <w:tcW w:w="992"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23</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23</w:t>
            </w:r>
          </w:p>
        </w:tc>
      </w:tr>
      <w:tr w:rsidR="00001F78" w:rsidRPr="008132E8" w:rsidTr="00001F78">
        <w:tc>
          <w:tcPr>
            <w:tcW w:w="1384" w:type="dxa"/>
          </w:tcPr>
          <w:p w:rsidR="00001F78" w:rsidRPr="008132E8" w:rsidRDefault="00001F78" w:rsidP="00001F78">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Total</w:t>
            </w:r>
          </w:p>
        </w:tc>
        <w:tc>
          <w:tcPr>
            <w:tcW w:w="992"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130</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264</w:t>
            </w:r>
          </w:p>
        </w:tc>
        <w:tc>
          <w:tcPr>
            <w:tcW w:w="993"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35</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143</w:t>
            </w:r>
          </w:p>
        </w:tc>
        <w:tc>
          <w:tcPr>
            <w:tcW w:w="992"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30</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69</w:t>
            </w:r>
          </w:p>
        </w:tc>
        <w:tc>
          <w:tcPr>
            <w:tcW w:w="1134" w:type="dxa"/>
          </w:tcPr>
          <w:p w:rsidR="00001F78" w:rsidRPr="008132E8" w:rsidRDefault="00001F78" w:rsidP="00001F78">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69</w:t>
            </w:r>
          </w:p>
        </w:tc>
      </w:tr>
    </w:tbl>
    <w:p w:rsidR="00777C06" w:rsidRPr="008132E8" w:rsidRDefault="005B5C14" w:rsidP="00741209">
      <w:pPr>
        <w:bidi w:val="0"/>
        <w:ind w:firstLine="720"/>
        <w:rPr>
          <w:rFonts w:ascii="Times New Roman" w:hAnsi="Times New Roman" w:cs="Times New Roman"/>
          <w:sz w:val="28"/>
          <w:szCs w:val="28"/>
          <w:lang w:bidi="ar-IQ"/>
        </w:rPr>
      </w:pPr>
      <w:r w:rsidRPr="008132E8">
        <w:rPr>
          <w:rFonts w:ascii="Times New Roman" w:hAnsi="Times New Roman" w:cs="Times New Roman"/>
          <w:noProof/>
          <w:sz w:val="28"/>
          <w:szCs w:val="28"/>
        </w:rPr>
        <w:drawing>
          <wp:inline distT="0" distB="0" distL="0" distR="0">
            <wp:extent cx="5172075" cy="3581400"/>
            <wp:effectExtent l="0" t="0" r="0" b="0"/>
            <wp:docPr id="4"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0529" w:rsidRPr="008132E8" w:rsidRDefault="00D30529" w:rsidP="00D30529">
      <w:pPr>
        <w:bidi w:val="0"/>
        <w:spacing w:line="240" w:lineRule="auto"/>
        <w:ind w:firstLine="720"/>
        <w:jc w:val="center"/>
        <w:rPr>
          <w:rFonts w:ascii="Times New Roman" w:hAnsi="Times New Roman" w:cs="Times New Roman"/>
          <w:b/>
          <w:bCs/>
          <w:sz w:val="28"/>
          <w:szCs w:val="28"/>
          <w:lang w:bidi="ar-IQ"/>
        </w:rPr>
      </w:pPr>
      <w:r w:rsidRPr="008132E8">
        <w:rPr>
          <w:rFonts w:ascii="Times New Roman" w:hAnsi="Times New Roman" w:cs="Times New Roman"/>
          <w:b/>
          <w:bCs/>
          <w:sz w:val="28"/>
          <w:szCs w:val="28"/>
          <w:lang w:bidi="ar-IQ"/>
        </w:rPr>
        <w:t>Figure (1): Yearly reporting cases during the study period.</w:t>
      </w:r>
    </w:p>
    <w:p w:rsidR="008B65D1" w:rsidRPr="008132E8" w:rsidRDefault="00376B0F" w:rsidP="00376B0F">
      <w:pPr>
        <w:bidi w:val="0"/>
        <w:spacing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 xml:space="preserve">    </w:t>
      </w:r>
      <w:r w:rsidR="008B65D1" w:rsidRPr="008132E8">
        <w:rPr>
          <w:rFonts w:ascii="Times New Roman" w:hAnsi="Times New Roman" w:cs="Times New Roman"/>
          <w:sz w:val="28"/>
          <w:szCs w:val="28"/>
          <w:lang w:bidi="ar-IQ"/>
        </w:rPr>
        <w:t>Table (4) and figure (2) represent the monthly distribution of HBV and HCV positive cases throughout the study period (6 years). It was found that both HBV and HCV positive cases were peaked during April month.</w:t>
      </w:r>
    </w:p>
    <w:p w:rsidR="00121B05" w:rsidRPr="002C409C" w:rsidRDefault="00121B05" w:rsidP="002C409C">
      <w:pPr>
        <w:bidi w:val="0"/>
        <w:spacing w:after="0" w:line="240" w:lineRule="auto"/>
        <w:jc w:val="center"/>
        <w:rPr>
          <w:rFonts w:ascii="Times New Roman" w:hAnsi="Times New Roman" w:cs="Times New Roman"/>
          <w:b/>
          <w:bCs/>
          <w:sz w:val="24"/>
          <w:szCs w:val="24"/>
          <w:lang w:bidi="ar-IQ"/>
        </w:rPr>
      </w:pPr>
      <w:r w:rsidRPr="002C409C">
        <w:rPr>
          <w:rFonts w:ascii="Times New Roman" w:hAnsi="Times New Roman" w:cs="Times New Roman"/>
          <w:b/>
          <w:bCs/>
          <w:sz w:val="24"/>
          <w:szCs w:val="24"/>
          <w:lang w:bidi="ar-IQ"/>
        </w:rPr>
        <w:lastRenderedPageBreak/>
        <w:t>Table (4): HBV and HCV positive cases by month.</w:t>
      </w:r>
    </w:p>
    <w:tbl>
      <w:tblPr>
        <w:tblStyle w:val="TableGrid"/>
        <w:tblW w:w="9356" w:type="dxa"/>
        <w:tblInd w:w="-459" w:type="dxa"/>
        <w:tblLook w:val="04A0"/>
      </w:tblPr>
      <w:tblGrid>
        <w:gridCol w:w="1212"/>
        <w:gridCol w:w="582"/>
        <w:gridCol w:w="582"/>
        <w:gridCol w:w="583"/>
        <w:gridCol w:w="636"/>
        <w:gridCol w:w="585"/>
        <w:gridCol w:w="585"/>
        <w:gridCol w:w="585"/>
        <w:gridCol w:w="585"/>
        <w:gridCol w:w="585"/>
        <w:gridCol w:w="588"/>
        <w:gridCol w:w="588"/>
        <w:gridCol w:w="588"/>
        <w:gridCol w:w="1072"/>
      </w:tblGrid>
      <w:tr w:rsidR="00121B05" w:rsidRPr="008132E8" w:rsidTr="005B5C14">
        <w:tc>
          <w:tcPr>
            <w:tcW w:w="1212" w:type="dxa"/>
            <w:vMerge w:val="restart"/>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Type of infection</w:t>
            </w:r>
          </w:p>
        </w:tc>
        <w:tc>
          <w:tcPr>
            <w:tcW w:w="7072" w:type="dxa"/>
            <w:gridSpan w:val="12"/>
          </w:tcPr>
          <w:p w:rsidR="00121B05" w:rsidRPr="008132E8" w:rsidRDefault="00121B05" w:rsidP="002C409C">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Months</w:t>
            </w:r>
          </w:p>
        </w:tc>
        <w:tc>
          <w:tcPr>
            <w:tcW w:w="1072" w:type="dxa"/>
            <w:vMerge w:val="restart"/>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Median</w:t>
            </w:r>
          </w:p>
        </w:tc>
      </w:tr>
      <w:tr w:rsidR="00121B05" w:rsidRPr="008132E8" w:rsidTr="005B5C14">
        <w:tc>
          <w:tcPr>
            <w:tcW w:w="1212" w:type="dxa"/>
            <w:vMerge/>
          </w:tcPr>
          <w:p w:rsidR="00121B05" w:rsidRPr="008132E8" w:rsidRDefault="00121B05" w:rsidP="002C409C">
            <w:pPr>
              <w:bidi w:val="0"/>
              <w:jc w:val="both"/>
              <w:rPr>
                <w:rFonts w:ascii="Times New Roman" w:hAnsi="Times New Roman" w:cs="Times New Roman"/>
                <w:sz w:val="28"/>
                <w:szCs w:val="28"/>
                <w:lang w:bidi="ar-IQ"/>
              </w:rPr>
            </w:pPr>
          </w:p>
        </w:tc>
        <w:tc>
          <w:tcPr>
            <w:tcW w:w="58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w:t>
            </w:r>
          </w:p>
        </w:tc>
        <w:tc>
          <w:tcPr>
            <w:tcW w:w="58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w:t>
            </w:r>
          </w:p>
        </w:tc>
        <w:tc>
          <w:tcPr>
            <w:tcW w:w="583"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3</w:t>
            </w:r>
          </w:p>
        </w:tc>
        <w:tc>
          <w:tcPr>
            <w:tcW w:w="636"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4</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5</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6</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7</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8</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9</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10</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11</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12</w:t>
            </w:r>
          </w:p>
        </w:tc>
        <w:tc>
          <w:tcPr>
            <w:tcW w:w="1072" w:type="dxa"/>
            <w:vMerge/>
          </w:tcPr>
          <w:p w:rsidR="00121B05" w:rsidRPr="008132E8" w:rsidRDefault="00121B05" w:rsidP="002C409C">
            <w:pPr>
              <w:bidi w:val="0"/>
              <w:jc w:val="both"/>
              <w:rPr>
                <w:rFonts w:ascii="Times New Roman" w:hAnsi="Times New Roman" w:cs="Times New Roman"/>
                <w:sz w:val="28"/>
                <w:szCs w:val="28"/>
                <w:lang w:bidi="ar-IQ"/>
              </w:rPr>
            </w:pPr>
          </w:p>
        </w:tc>
      </w:tr>
      <w:tr w:rsidR="00121B05" w:rsidRPr="008132E8" w:rsidTr="005B5C14">
        <w:tc>
          <w:tcPr>
            <w:tcW w:w="121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HBV</w:t>
            </w:r>
          </w:p>
        </w:tc>
        <w:tc>
          <w:tcPr>
            <w:tcW w:w="58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30</w:t>
            </w:r>
          </w:p>
        </w:tc>
        <w:tc>
          <w:tcPr>
            <w:tcW w:w="58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17</w:t>
            </w:r>
          </w:p>
        </w:tc>
        <w:tc>
          <w:tcPr>
            <w:tcW w:w="583"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57</w:t>
            </w:r>
          </w:p>
        </w:tc>
        <w:tc>
          <w:tcPr>
            <w:tcW w:w="636"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72</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57</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35</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44</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26</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27</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45</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29</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36</w:t>
            </w:r>
          </w:p>
        </w:tc>
        <w:tc>
          <w:tcPr>
            <w:tcW w:w="107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35</w:t>
            </w:r>
          </w:p>
        </w:tc>
      </w:tr>
      <w:tr w:rsidR="00121B05" w:rsidRPr="008132E8" w:rsidTr="005B5C14">
        <w:tc>
          <w:tcPr>
            <w:tcW w:w="121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HCV</w:t>
            </w:r>
          </w:p>
        </w:tc>
        <w:tc>
          <w:tcPr>
            <w:tcW w:w="58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15</w:t>
            </w:r>
          </w:p>
        </w:tc>
        <w:tc>
          <w:tcPr>
            <w:tcW w:w="58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15</w:t>
            </w:r>
          </w:p>
        </w:tc>
        <w:tc>
          <w:tcPr>
            <w:tcW w:w="583"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12</w:t>
            </w:r>
          </w:p>
        </w:tc>
        <w:tc>
          <w:tcPr>
            <w:tcW w:w="636"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34</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18</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6</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16</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15</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10</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19</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12</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24</w:t>
            </w:r>
          </w:p>
        </w:tc>
        <w:tc>
          <w:tcPr>
            <w:tcW w:w="107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15</w:t>
            </w:r>
          </w:p>
        </w:tc>
      </w:tr>
      <w:tr w:rsidR="00121B05" w:rsidRPr="008132E8" w:rsidTr="005B5C14">
        <w:tc>
          <w:tcPr>
            <w:tcW w:w="121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Total</w:t>
            </w:r>
          </w:p>
        </w:tc>
        <w:tc>
          <w:tcPr>
            <w:tcW w:w="58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45</w:t>
            </w:r>
          </w:p>
        </w:tc>
        <w:tc>
          <w:tcPr>
            <w:tcW w:w="58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32</w:t>
            </w:r>
          </w:p>
        </w:tc>
        <w:tc>
          <w:tcPr>
            <w:tcW w:w="583"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69</w:t>
            </w:r>
          </w:p>
        </w:tc>
        <w:tc>
          <w:tcPr>
            <w:tcW w:w="636"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106</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75</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41</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60</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41</w:t>
            </w:r>
          </w:p>
        </w:tc>
        <w:tc>
          <w:tcPr>
            <w:tcW w:w="585"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37</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64</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41</w:t>
            </w:r>
          </w:p>
        </w:tc>
        <w:tc>
          <w:tcPr>
            <w:tcW w:w="588"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60</w:t>
            </w:r>
          </w:p>
        </w:tc>
        <w:tc>
          <w:tcPr>
            <w:tcW w:w="1072" w:type="dxa"/>
          </w:tcPr>
          <w:p w:rsidR="00121B05" w:rsidRPr="008132E8" w:rsidRDefault="00121B05" w:rsidP="002C409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52</w:t>
            </w:r>
          </w:p>
        </w:tc>
      </w:tr>
    </w:tbl>
    <w:p w:rsidR="00CB3A3F" w:rsidRPr="002C409C" w:rsidRDefault="005B5C14" w:rsidP="002C409C">
      <w:pPr>
        <w:bidi w:val="0"/>
        <w:spacing w:after="0"/>
        <w:jc w:val="both"/>
        <w:rPr>
          <w:rFonts w:ascii="Times New Roman" w:hAnsi="Times New Roman" w:cs="Times New Roman"/>
          <w:sz w:val="28"/>
          <w:szCs w:val="28"/>
          <w:lang w:bidi="ar-IQ"/>
        </w:rPr>
      </w:pPr>
      <w:r w:rsidRPr="008132E8">
        <w:rPr>
          <w:rFonts w:ascii="Times New Roman" w:hAnsi="Times New Roman" w:cs="Times New Roman"/>
          <w:noProof/>
          <w:sz w:val="28"/>
          <w:szCs w:val="28"/>
        </w:rPr>
        <w:drawing>
          <wp:inline distT="0" distB="0" distL="0" distR="0">
            <wp:extent cx="5600700" cy="3524250"/>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643A" w:rsidRPr="00CB3A3F" w:rsidRDefault="005B5C14" w:rsidP="00CB3A3F">
      <w:pPr>
        <w:bidi w:val="0"/>
        <w:ind w:right="-1099"/>
        <w:jc w:val="center"/>
        <w:rPr>
          <w:rFonts w:ascii="Times New Roman" w:hAnsi="Times New Roman" w:cs="Times New Roman"/>
          <w:b/>
          <w:bCs/>
          <w:sz w:val="24"/>
          <w:szCs w:val="24"/>
          <w:rtl/>
          <w:lang w:bidi="ar-IQ"/>
        </w:rPr>
      </w:pPr>
      <w:r w:rsidRPr="00CB3A3F">
        <w:rPr>
          <w:rFonts w:ascii="Times New Roman" w:hAnsi="Times New Roman" w:cs="Times New Roman"/>
          <w:b/>
          <w:bCs/>
          <w:sz w:val="24"/>
          <w:szCs w:val="24"/>
          <w:lang w:bidi="ar-IQ"/>
        </w:rPr>
        <w:t>Figure (2): Monthly reporting cases during the study period</w:t>
      </w:r>
    </w:p>
    <w:p w:rsidR="00121B05" w:rsidRPr="008132E8" w:rsidRDefault="00376B0F" w:rsidP="00376B0F">
      <w:pPr>
        <w:bidi w:val="0"/>
        <w:spacing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 xml:space="preserve">    </w:t>
      </w:r>
      <w:r w:rsidR="007847A6" w:rsidRPr="008132E8">
        <w:rPr>
          <w:rFonts w:ascii="Times New Roman" w:hAnsi="Times New Roman" w:cs="Times New Roman"/>
          <w:sz w:val="28"/>
          <w:szCs w:val="28"/>
          <w:lang w:bidi="ar-IQ"/>
        </w:rPr>
        <w:t xml:space="preserve">The distribution of HBV and HCV positive cases according to the age was presented in table (5). </w:t>
      </w:r>
      <w:r w:rsidR="00005597" w:rsidRPr="008132E8">
        <w:rPr>
          <w:rFonts w:ascii="Times New Roman" w:hAnsi="Times New Roman" w:cs="Times New Roman"/>
          <w:sz w:val="28"/>
          <w:szCs w:val="28"/>
          <w:lang w:bidi="ar-IQ"/>
        </w:rPr>
        <w:t>The HBV positive cases were significantly higher among the age group (20-29)</w:t>
      </w:r>
      <w:r w:rsidR="00D14F50" w:rsidRPr="008132E8">
        <w:rPr>
          <w:rFonts w:ascii="Times New Roman" w:hAnsi="Times New Roman" w:cs="Times New Roman"/>
          <w:sz w:val="28"/>
          <w:szCs w:val="28"/>
          <w:lang w:bidi="ar-IQ"/>
        </w:rPr>
        <w:t xml:space="preserve"> </w:t>
      </w:r>
      <w:r w:rsidR="00005597" w:rsidRPr="008132E8">
        <w:rPr>
          <w:rFonts w:ascii="Times New Roman" w:hAnsi="Times New Roman" w:cs="Times New Roman"/>
          <w:sz w:val="28"/>
          <w:szCs w:val="28"/>
          <w:lang w:bidi="ar-IQ"/>
        </w:rPr>
        <w:t xml:space="preserve">years (p Chi-sequare &lt;0.001). </w:t>
      </w:r>
      <w:r w:rsidR="00D14F50" w:rsidRPr="008132E8">
        <w:rPr>
          <w:rFonts w:ascii="Times New Roman" w:hAnsi="Times New Roman" w:cs="Times New Roman"/>
          <w:sz w:val="28"/>
          <w:szCs w:val="28"/>
          <w:lang w:bidi="ar-IQ"/>
        </w:rPr>
        <w:t>Whereas</w:t>
      </w:r>
      <w:r w:rsidR="00005597" w:rsidRPr="008132E8">
        <w:rPr>
          <w:rFonts w:ascii="Times New Roman" w:hAnsi="Times New Roman" w:cs="Times New Roman"/>
          <w:sz w:val="28"/>
          <w:szCs w:val="28"/>
          <w:lang w:bidi="ar-IQ"/>
        </w:rPr>
        <w:t xml:space="preserve"> the HCV positive cases were significantly higher among the age group (30-39) years (p Chi-sequare &lt; 0.001).</w:t>
      </w:r>
    </w:p>
    <w:p w:rsidR="00005597" w:rsidRPr="008132E8" w:rsidRDefault="00005597" w:rsidP="00376B0F">
      <w:pPr>
        <w:bidi w:val="0"/>
        <w:spacing w:after="0" w:line="240" w:lineRule="auto"/>
        <w:jc w:val="center"/>
        <w:rPr>
          <w:rFonts w:ascii="Times New Roman" w:hAnsi="Times New Roman" w:cs="Times New Roman"/>
          <w:b/>
          <w:bCs/>
          <w:sz w:val="28"/>
          <w:szCs w:val="28"/>
          <w:lang w:bidi="ar-IQ"/>
        </w:rPr>
      </w:pPr>
      <w:r w:rsidRPr="008132E8">
        <w:rPr>
          <w:rFonts w:ascii="Times New Roman" w:hAnsi="Times New Roman" w:cs="Times New Roman"/>
          <w:b/>
          <w:bCs/>
          <w:sz w:val="28"/>
          <w:szCs w:val="28"/>
          <w:lang w:bidi="ar-IQ"/>
        </w:rPr>
        <w:t>Table (5): distribution of HBV and HCV positive cases by age.</w:t>
      </w:r>
    </w:p>
    <w:tbl>
      <w:tblPr>
        <w:tblStyle w:val="TableGrid"/>
        <w:tblW w:w="0" w:type="auto"/>
        <w:tblLook w:val="04A0"/>
      </w:tblPr>
      <w:tblGrid>
        <w:gridCol w:w="2840"/>
        <w:gridCol w:w="2841"/>
        <w:gridCol w:w="2841"/>
      </w:tblGrid>
      <w:tr w:rsidR="007847A6" w:rsidRPr="008132E8" w:rsidTr="0078695D">
        <w:tc>
          <w:tcPr>
            <w:tcW w:w="2840" w:type="dxa"/>
            <w:vMerge w:val="restart"/>
            <w:vAlign w:val="center"/>
          </w:tcPr>
          <w:p w:rsidR="007847A6" w:rsidRPr="008132E8" w:rsidRDefault="007847A6"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Age groups (Ys)</w:t>
            </w:r>
          </w:p>
        </w:tc>
        <w:tc>
          <w:tcPr>
            <w:tcW w:w="5682" w:type="dxa"/>
            <w:gridSpan w:val="2"/>
          </w:tcPr>
          <w:p w:rsidR="007847A6" w:rsidRPr="008132E8" w:rsidRDefault="007847A6"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Type of viral hepatitis</w:t>
            </w:r>
          </w:p>
        </w:tc>
      </w:tr>
      <w:tr w:rsidR="007847A6" w:rsidRPr="008132E8" w:rsidTr="007847A6">
        <w:tc>
          <w:tcPr>
            <w:tcW w:w="2840" w:type="dxa"/>
            <w:vMerge/>
          </w:tcPr>
          <w:p w:rsidR="007847A6" w:rsidRPr="008132E8" w:rsidRDefault="007847A6" w:rsidP="00376B0F">
            <w:pPr>
              <w:bidi w:val="0"/>
              <w:jc w:val="both"/>
              <w:rPr>
                <w:rFonts w:ascii="Times New Roman" w:hAnsi="Times New Roman" w:cs="Times New Roman"/>
                <w:sz w:val="28"/>
                <w:szCs w:val="28"/>
                <w:lang w:bidi="ar-IQ"/>
              </w:rPr>
            </w:pPr>
          </w:p>
        </w:tc>
        <w:tc>
          <w:tcPr>
            <w:tcW w:w="2841" w:type="dxa"/>
          </w:tcPr>
          <w:p w:rsidR="007847A6" w:rsidRPr="008132E8" w:rsidRDefault="007847A6"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 xml:space="preserve">HBV </w:t>
            </w:r>
            <w:r w:rsidR="00A42BB1" w:rsidRPr="008132E8">
              <w:rPr>
                <w:rFonts w:ascii="Times New Roman" w:hAnsi="Times New Roman" w:cs="Times New Roman"/>
                <w:sz w:val="28"/>
                <w:szCs w:val="28"/>
                <w:lang w:bidi="ar-IQ"/>
              </w:rPr>
              <w:t>(No.%)</w:t>
            </w:r>
          </w:p>
        </w:tc>
        <w:tc>
          <w:tcPr>
            <w:tcW w:w="2841" w:type="dxa"/>
          </w:tcPr>
          <w:p w:rsidR="007847A6" w:rsidRPr="008132E8" w:rsidRDefault="007847A6"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HCV</w:t>
            </w:r>
            <w:r w:rsidR="00A42BB1" w:rsidRPr="008132E8">
              <w:rPr>
                <w:rFonts w:ascii="Times New Roman" w:hAnsi="Times New Roman" w:cs="Times New Roman"/>
                <w:sz w:val="28"/>
                <w:szCs w:val="28"/>
                <w:lang w:bidi="ar-IQ"/>
              </w:rPr>
              <w:t xml:space="preserve"> (No. %)</w:t>
            </w:r>
          </w:p>
        </w:tc>
      </w:tr>
      <w:tr w:rsidR="007847A6" w:rsidRPr="008132E8" w:rsidTr="00741209">
        <w:tc>
          <w:tcPr>
            <w:tcW w:w="2840" w:type="dxa"/>
          </w:tcPr>
          <w:p w:rsidR="007847A6"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&lt; 10</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10-19</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20-29</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30-39</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40-49</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50 +</w:t>
            </w:r>
          </w:p>
        </w:tc>
        <w:tc>
          <w:tcPr>
            <w:tcW w:w="2841" w:type="dxa"/>
          </w:tcPr>
          <w:p w:rsidR="007847A6"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12(2.5)</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70(14.7)</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150(31.6)</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139(29.3)</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54(11.4)</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50(10.5)</w:t>
            </w:r>
          </w:p>
        </w:tc>
        <w:tc>
          <w:tcPr>
            <w:tcW w:w="2841" w:type="dxa"/>
          </w:tcPr>
          <w:p w:rsidR="007847A6"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11(5.6)</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52(26.5)</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54(27.6)</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55(28.1)</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16(8.2)</w:t>
            </w:r>
          </w:p>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8(4.1)</w:t>
            </w:r>
          </w:p>
        </w:tc>
      </w:tr>
      <w:tr w:rsidR="00005597" w:rsidRPr="008132E8" w:rsidTr="00741209">
        <w:tc>
          <w:tcPr>
            <w:tcW w:w="2840" w:type="dxa"/>
          </w:tcPr>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Total</w:t>
            </w:r>
          </w:p>
        </w:tc>
        <w:tc>
          <w:tcPr>
            <w:tcW w:w="2841" w:type="dxa"/>
          </w:tcPr>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475 (100)</w:t>
            </w:r>
          </w:p>
        </w:tc>
        <w:tc>
          <w:tcPr>
            <w:tcW w:w="2841" w:type="dxa"/>
          </w:tcPr>
          <w:p w:rsidR="00005597" w:rsidRPr="008132E8" w:rsidRDefault="00005597"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196 (100)</w:t>
            </w:r>
          </w:p>
        </w:tc>
      </w:tr>
    </w:tbl>
    <w:p w:rsidR="00376B0F" w:rsidRPr="008132E8" w:rsidRDefault="00376B0F" w:rsidP="00376B0F">
      <w:pPr>
        <w:bidi w:val="0"/>
        <w:spacing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 xml:space="preserve">    </w:t>
      </w:r>
    </w:p>
    <w:p w:rsidR="00CB3A3F" w:rsidRPr="008132E8" w:rsidRDefault="00376B0F" w:rsidP="002C409C">
      <w:pPr>
        <w:bidi w:val="0"/>
        <w:spacing w:after="0"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 xml:space="preserve">    </w:t>
      </w:r>
      <w:r w:rsidR="0024643A" w:rsidRPr="008132E8">
        <w:rPr>
          <w:rFonts w:ascii="Times New Roman" w:hAnsi="Times New Roman" w:cs="Times New Roman"/>
          <w:sz w:val="28"/>
          <w:szCs w:val="28"/>
          <w:lang w:bidi="ar-IQ"/>
        </w:rPr>
        <w:t xml:space="preserve">The </w:t>
      </w:r>
      <w:r w:rsidR="00172731" w:rsidRPr="008132E8">
        <w:rPr>
          <w:rFonts w:ascii="Times New Roman" w:hAnsi="Times New Roman" w:cs="Times New Roman"/>
          <w:sz w:val="28"/>
          <w:szCs w:val="28"/>
          <w:lang w:bidi="ar-IQ"/>
        </w:rPr>
        <w:t>residences of patients were</w:t>
      </w:r>
      <w:r w:rsidR="0024643A" w:rsidRPr="008132E8">
        <w:rPr>
          <w:rFonts w:ascii="Times New Roman" w:hAnsi="Times New Roman" w:cs="Times New Roman"/>
          <w:sz w:val="28"/>
          <w:szCs w:val="28"/>
          <w:lang w:bidi="ar-IQ"/>
        </w:rPr>
        <w:t xml:space="preserve"> </w:t>
      </w:r>
      <w:r w:rsidR="00172731" w:rsidRPr="008132E8">
        <w:rPr>
          <w:rFonts w:ascii="Times New Roman" w:hAnsi="Times New Roman" w:cs="Times New Roman"/>
          <w:sz w:val="28"/>
          <w:szCs w:val="28"/>
          <w:lang w:bidi="ar-IQ"/>
        </w:rPr>
        <w:t>distributed over the</w:t>
      </w:r>
      <w:r w:rsidR="0024643A" w:rsidRPr="008132E8">
        <w:rPr>
          <w:rFonts w:ascii="Times New Roman" w:hAnsi="Times New Roman" w:cs="Times New Roman"/>
          <w:sz w:val="28"/>
          <w:szCs w:val="28"/>
          <w:lang w:bidi="ar-IQ"/>
        </w:rPr>
        <w:t xml:space="preserve"> five districts in Diyala province</w:t>
      </w:r>
      <w:r w:rsidR="00172731" w:rsidRPr="008132E8">
        <w:rPr>
          <w:rFonts w:ascii="Times New Roman" w:hAnsi="Times New Roman" w:cs="Times New Roman"/>
          <w:sz w:val="28"/>
          <w:szCs w:val="28"/>
          <w:lang w:bidi="ar-IQ"/>
        </w:rPr>
        <w:t xml:space="preserve">. Although, nearly a </w:t>
      </w:r>
      <w:r w:rsidR="004E6CA7" w:rsidRPr="008132E8">
        <w:rPr>
          <w:rFonts w:ascii="Times New Roman" w:hAnsi="Times New Roman" w:cs="Times New Roman"/>
          <w:sz w:val="28"/>
          <w:szCs w:val="28"/>
          <w:lang w:bidi="ar-IQ"/>
        </w:rPr>
        <w:t>half (</w:t>
      </w:r>
      <w:r w:rsidR="00172731" w:rsidRPr="008132E8">
        <w:rPr>
          <w:rFonts w:ascii="Times New Roman" w:hAnsi="Times New Roman" w:cs="Times New Roman"/>
          <w:sz w:val="28"/>
          <w:szCs w:val="28"/>
          <w:lang w:bidi="ar-IQ"/>
        </w:rPr>
        <w:t xml:space="preserve">48%) of HBV positive and (40.8%) of HCV </w:t>
      </w:r>
      <w:r w:rsidR="00172731" w:rsidRPr="008132E8">
        <w:rPr>
          <w:rFonts w:ascii="Times New Roman" w:hAnsi="Times New Roman" w:cs="Times New Roman"/>
          <w:sz w:val="28"/>
          <w:szCs w:val="28"/>
          <w:lang w:bidi="ar-IQ"/>
        </w:rPr>
        <w:lastRenderedPageBreak/>
        <w:t>positive patients</w:t>
      </w:r>
      <w:r w:rsidR="0078105E" w:rsidRPr="008132E8">
        <w:rPr>
          <w:rFonts w:ascii="Times New Roman" w:hAnsi="Times New Roman" w:cs="Times New Roman"/>
          <w:sz w:val="28"/>
          <w:szCs w:val="28"/>
          <w:lang w:bidi="ar-IQ"/>
        </w:rPr>
        <w:t xml:space="preserve"> were from Baquba district. However, statistical</w:t>
      </w:r>
      <w:r w:rsidR="0024643A" w:rsidRPr="008132E8">
        <w:rPr>
          <w:rFonts w:ascii="Times New Roman" w:hAnsi="Times New Roman" w:cs="Times New Roman"/>
          <w:sz w:val="28"/>
          <w:szCs w:val="28"/>
          <w:lang w:bidi="ar-IQ"/>
        </w:rPr>
        <w:t xml:space="preserve"> analysis showed that there is no association between HBV </w:t>
      </w:r>
      <w:r w:rsidR="0078105E" w:rsidRPr="008132E8">
        <w:rPr>
          <w:rFonts w:ascii="Times New Roman" w:hAnsi="Times New Roman" w:cs="Times New Roman"/>
          <w:sz w:val="28"/>
          <w:szCs w:val="28"/>
          <w:lang w:bidi="ar-IQ"/>
        </w:rPr>
        <w:t xml:space="preserve">and HCV </w:t>
      </w:r>
      <w:r w:rsidR="004E6CA7" w:rsidRPr="008132E8">
        <w:rPr>
          <w:rFonts w:ascii="Times New Roman" w:hAnsi="Times New Roman" w:cs="Times New Roman"/>
          <w:sz w:val="28"/>
          <w:szCs w:val="28"/>
          <w:lang w:bidi="ar-IQ"/>
        </w:rPr>
        <w:t>sero</w:t>
      </w:r>
      <w:r w:rsidR="0078105E" w:rsidRPr="008132E8">
        <w:rPr>
          <w:rFonts w:ascii="Times New Roman" w:hAnsi="Times New Roman" w:cs="Times New Roman"/>
          <w:sz w:val="28"/>
          <w:szCs w:val="28"/>
          <w:lang w:bidi="ar-IQ"/>
        </w:rPr>
        <w:t>positivity rates and the district of residence</w:t>
      </w:r>
      <w:r w:rsidR="0024643A" w:rsidRPr="008132E8">
        <w:rPr>
          <w:rFonts w:ascii="Times New Roman" w:hAnsi="Times New Roman" w:cs="Times New Roman"/>
          <w:sz w:val="28"/>
          <w:szCs w:val="28"/>
          <w:lang w:bidi="ar-IQ"/>
        </w:rPr>
        <w:t>,</w:t>
      </w:r>
      <w:r w:rsidR="0078105E" w:rsidRPr="008132E8">
        <w:rPr>
          <w:rFonts w:ascii="Times New Roman" w:hAnsi="Times New Roman" w:cs="Times New Roman"/>
          <w:sz w:val="28"/>
          <w:szCs w:val="28"/>
          <w:lang w:bidi="ar-IQ"/>
        </w:rPr>
        <w:t xml:space="preserve"> </w:t>
      </w:r>
      <w:r w:rsidR="0024643A" w:rsidRPr="008132E8">
        <w:rPr>
          <w:rFonts w:ascii="Times New Roman" w:hAnsi="Times New Roman" w:cs="Times New Roman"/>
          <w:sz w:val="28"/>
          <w:szCs w:val="28"/>
          <w:lang w:bidi="ar-IQ"/>
        </w:rPr>
        <w:t xml:space="preserve">table </w:t>
      </w:r>
      <w:r w:rsidR="00172731" w:rsidRPr="008132E8">
        <w:rPr>
          <w:rFonts w:ascii="Times New Roman" w:hAnsi="Times New Roman" w:cs="Times New Roman"/>
          <w:sz w:val="28"/>
          <w:szCs w:val="28"/>
          <w:lang w:bidi="ar-IQ"/>
        </w:rPr>
        <w:t>(</w:t>
      </w:r>
      <w:r w:rsidR="0024643A" w:rsidRPr="008132E8">
        <w:rPr>
          <w:rFonts w:ascii="Times New Roman" w:hAnsi="Times New Roman" w:cs="Times New Roman"/>
          <w:sz w:val="28"/>
          <w:szCs w:val="28"/>
          <w:lang w:bidi="ar-IQ"/>
        </w:rPr>
        <w:t>6</w:t>
      </w:r>
      <w:r w:rsidR="005233F2" w:rsidRPr="008132E8">
        <w:rPr>
          <w:rFonts w:ascii="Times New Roman" w:hAnsi="Times New Roman" w:cs="Times New Roman"/>
          <w:sz w:val="28"/>
          <w:szCs w:val="28"/>
          <w:lang w:bidi="ar-IQ"/>
        </w:rPr>
        <w:t>).</w:t>
      </w:r>
    </w:p>
    <w:p w:rsidR="00543FE1" w:rsidRPr="008132E8" w:rsidRDefault="00543FE1" w:rsidP="00376B0F">
      <w:pPr>
        <w:bidi w:val="0"/>
        <w:spacing w:after="0"/>
        <w:jc w:val="center"/>
        <w:rPr>
          <w:rFonts w:ascii="Times New Roman" w:hAnsi="Times New Roman" w:cs="Times New Roman"/>
          <w:b/>
          <w:bCs/>
          <w:sz w:val="28"/>
          <w:szCs w:val="28"/>
          <w:lang w:bidi="ar-IQ"/>
        </w:rPr>
      </w:pPr>
      <w:r w:rsidRPr="008132E8">
        <w:rPr>
          <w:rFonts w:ascii="Times New Roman" w:hAnsi="Times New Roman" w:cs="Times New Roman"/>
          <w:b/>
          <w:bCs/>
          <w:sz w:val="28"/>
          <w:szCs w:val="28"/>
          <w:lang w:bidi="ar-IQ"/>
        </w:rPr>
        <w:t>Table (6): distribution of HBV and HCV positive cases by residence.</w:t>
      </w:r>
    </w:p>
    <w:tbl>
      <w:tblPr>
        <w:tblStyle w:val="TableGrid"/>
        <w:tblW w:w="0" w:type="auto"/>
        <w:tblLook w:val="04A0"/>
      </w:tblPr>
      <w:tblGrid>
        <w:gridCol w:w="2840"/>
        <w:gridCol w:w="2841"/>
        <w:gridCol w:w="2841"/>
      </w:tblGrid>
      <w:tr w:rsidR="00543FE1" w:rsidRPr="008132E8" w:rsidTr="00C10F3C">
        <w:tc>
          <w:tcPr>
            <w:tcW w:w="2840" w:type="dxa"/>
            <w:vMerge w:val="restart"/>
            <w:vAlign w:val="center"/>
          </w:tcPr>
          <w:p w:rsidR="00543FE1" w:rsidRPr="008132E8" w:rsidRDefault="00543FE1"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District of residence</w:t>
            </w:r>
          </w:p>
        </w:tc>
        <w:tc>
          <w:tcPr>
            <w:tcW w:w="5682" w:type="dxa"/>
            <w:gridSpan w:val="2"/>
          </w:tcPr>
          <w:p w:rsidR="00543FE1" w:rsidRPr="008132E8" w:rsidRDefault="00543FE1" w:rsidP="00C10F3C">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Type of viral hepatitis</w:t>
            </w:r>
          </w:p>
        </w:tc>
      </w:tr>
      <w:tr w:rsidR="00543FE1" w:rsidRPr="008132E8" w:rsidTr="00C10F3C">
        <w:tc>
          <w:tcPr>
            <w:tcW w:w="2840" w:type="dxa"/>
            <w:vMerge/>
          </w:tcPr>
          <w:p w:rsidR="00543FE1" w:rsidRPr="008132E8" w:rsidRDefault="00543FE1" w:rsidP="00C10F3C">
            <w:pPr>
              <w:bidi w:val="0"/>
              <w:jc w:val="both"/>
              <w:rPr>
                <w:rFonts w:ascii="Times New Roman" w:hAnsi="Times New Roman" w:cs="Times New Roman"/>
                <w:sz w:val="28"/>
                <w:szCs w:val="28"/>
                <w:lang w:bidi="ar-IQ"/>
              </w:rPr>
            </w:pPr>
          </w:p>
        </w:tc>
        <w:tc>
          <w:tcPr>
            <w:tcW w:w="2841" w:type="dxa"/>
          </w:tcPr>
          <w:p w:rsidR="00543FE1" w:rsidRPr="008132E8" w:rsidRDefault="00543FE1" w:rsidP="00C10F3C">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 xml:space="preserve">HBV </w:t>
            </w:r>
            <w:r w:rsidR="00D30529" w:rsidRPr="008132E8">
              <w:rPr>
                <w:rFonts w:ascii="Times New Roman" w:hAnsi="Times New Roman" w:cs="Times New Roman"/>
                <w:sz w:val="28"/>
                <w:szCs w:val="28"/>
                <w:lang w:bidi="ar-IQ"/>
              </w:rPr>
              <w:t>(No.%)</w:t>
            </w:r>
          </w:p>
        </w:tc>
        <w:tc>
          <w:tcPr>
            <w:tcW w:w="2841" w:type="dxa"/>
          </w:tcPr>
          <w:p w:rsidR="00543FE1" w:rsidRPr="008132E8" w:rsidRDefault="00543FE1" w:rsidP="00C10F3C">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HCV</w:t>
            </w:r>
            <w:r w:rsidR="00D30529" w:rsidRPr="008132E8">
              <w:rPr>
                <w:rFonts w:ascii="Times New Roman" w:hAnsi="Times New Roman" w:cs="Times New Roman"/>
                <w:sz w:val="28"/>
                <w:szCs w:val="28"/>
                <w:lang w:bidi="ar-IQ"/>
              </w:rPr>
              <w:t xml:space="preserve"> (No.%)</w:t>
            </w:r>
          </w:p>
        </w:tc>
      </w:tr>
      <w:tr w:rsidR="00543FE1" w:rsidRPr="008132E8" w:rsidTr="00C10F3C">
        <w:tc>
          <w:tcPr>
            <w:tcW w:w="2840" w:type="dxa"/>
          </w:tcPr>
          <w:p w:rsidR="00543FE1" w:rsidRPr="008132E8" w:rsidRDefault="00543FE1" w:rsidP="00C10F3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Baquba</w:t>
            </w:r>
          </w:p>
          <w:p w:rsidR="00543FE1" w:rsidRPr="008132E8" w:rsidRDefault="00543FE1" w:rsidP="00543FE1">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Khalis</w:t>
            </w:r>
          </w:p>
          <w:p w:rsidR="00543FE1" w:rsidRPr="008132E8" w:rsidRDefault="00543FE1" w:rsidP="00543FE1">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Baladruz</w:t>
            </w:r>
          </w:p>
          <w:p w:rsidR="00543FE1" w:rsidRPr="008132E8" w:rsidRDefault="00543FE1" w:rsidP="00543FE1">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Muqdadia</w:t>
            </w:r>
          </w:p>
          <w:p w:rsidR="00543FE1" w:rsidRPr="008132E8" w:rsidRDefault="00543FE1" w:rsidP="00543FE1">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Jalawla</w:t>
            </w:r>
          </w:p>
        </w:tc>
        <w:tc>
          <w:tcPr>
            <w:tcW w:w="2841" w:type="dxa"/>
          </w:tcPr>
          <w:p w:rsidR="00543FE1" w:rsidRPr="008132E8" w:rsidRDefault="00D7675B" w:rsidP="00D7675B">
            <w:pPr>
              <w:tabs>
                <w:tab w:val="left" w:pos="690"/>
              </w:tabs>
              <w:bidi w:val="0"/>
              <w:rPr>
                <w:rFonts w:ascii="Times New Roman" w:hAnsi="Times New Roman" w:cs="Times New Roman"/>
                <w:sz w:val="28"/>
                <w:szCs w:val="28"/>
                <w:lang w:bidi="ar-IQ"/>
              </w:rPr>
            </w:pPr>
            <w:r w:rsidRPr="008132E8">
              <w:rPr>
                <w:rFonts w:ascii="Times New Roman" w:hAnsi="Times New Roman" w:cs="Times New Roman"/>
                <w:sz w:val="28"/>
                <w:szCs w:val="28"/>
                <w:lang w:bidi="ar-IQ"/>
              </w:rPr>
              <w:tab/>
              <w:t>228(48)</w:t>
            </w:r>
          </w:p>
          <w:p w:rsidR="00D7675B" w:rsidRPr="008132E8" w:rsidRDefault="00D7675B" w:rsidP="00D7675B">
            <w:pPr>
              <w:tabs>
                <w:tab w:val="left" w:pos="690"/>
              </w:tabs>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88(18.5)</w:t>
            </w:r>
          </w:p>
          <w:p w:rsidR="00D7675B" w:rsidRPr="008132E8" w:rsidRDefault="00D7675B" w:rsidP="00D7675B">
            <w:pPr>
              <w:tabs>
                <w:tab w:val="left" w:pos="690"/>
              </w:tabs>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65(13.7)</w:t>
            </w:r>
          </w:p>
          <w:p w:rsidR="00D7675B" w:rsidRPr="008132E8" w:rsidRDefault="00D7675B" w:rsidP="00D7675B">
            <w:pPr>
              <w:tabs>
                <w:tab w:val="left" w:pos="690"/>
              </w:tabs>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77(16.2)</w:t>
            </w:r>
          </w:p>
          <w:p w:rsidR="00543FE1" w:rsidRPr="008132E8" w:rsidRDefault="00D7675B" w:rsidP="00D7675B">
            <w:pPr>
              <w:tabs>
                <w:tab w:val="left" w:pos="690"/>
              </w:tabs>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17(3.6)</w:t>
            </w:r>
          </w:p>
        </w:tc>
        <w:tc>
          <w:tcPr>
            <w:tcW w:w="2841" w:type="dxa"/>
          </w:tcPr>
          <w:p w:rsidR="00543FE1" w:rsidRPr="008132E8" w:rsidRDefault="00D7675B" w:rsidP="00543FE1">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80(40.8)</w:t>
            </w:r>
          </w:p>
          <w:p w:rsidR="00D7675B" w:rsidRPr="008132E8" w:rsidRDefault="00D7675B" w:rsidP="00D7675B">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41(20.9)</w:t>
            </w:r>
          </w:p>
          <w:p w:rsidR="00D7675B" w:rsidRPr="008132E8" w:rsidRDefault="00D7675B" w:rsidP="00D7675B">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31(15.8)</w:t>
            </w:r>
          </w:p>
          <w:p w:rsidR="00D7675B" w:rsidRPr="008132E8" w:rsidRDefault="00D7675B" w:rsidP="00D7675B">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35(17.9)</w:t>
            </w:r>
          </w:p>
          <w:p w:rsidR="00D7675B" w:rsidRPr="008132E8" w:rsidRDefault="00D7675B" w:rsidP="00D7675B">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9(4.6)</w:t>
            </w:r>
          </w:p>
        </w:tc>
      </w:tr>
      <w:tr w:rsidR="00543FE1" w:rsidRPr="008132E8" w:rsidTr="00C10F3C">
        <w:tc>
          <w:tcPr>
            <w:tcW w:w="2840" w:type="dxa"/>
          </w:tcPr>
          <w:p w:rsidR="00543FE1" w:rsidRPr="008132E8" w:rsidRDefault="00543FE1" w:rsidP="00C10F3C">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Total</w:t>
            </w:r>
          </w:p>
        </w:tc>
        <w:tc>
          <w:tcPr>
            <w:tcW w:w="2841" w:type="dxa"/>
          </w:tcPr>
          <w:p w:rsidR="00543FE1" w:rsidRPr="008132E8" w:rsidRDefault="00543FE1" w:rsidP="00C10F3C">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475 (100)</w:t>
            </w:r>
          </w:p>
        </w:tc>
        <w:tc>
          <w:tcPr>
            <w:tcW w:w="2841" w:type="dxa"/>
          </w:tcPr>
          <w:p w:rsidR="00543FE1" w:rsidRPr="008132E8" w:rsidRDefault="00543FE1" w:rsidP="00C10F3C">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196 (100)</w:t>
            </w:r>
          </w:p>
        </w:tc>
      </w:tr>
    </w:tbl>
    <w:p w:rsidR="00025718" w:rsidRPr="008132E8" w:rsidRDefault="00DE236C" w:rsidP="00B83850">
      <w:pPr>
        <w:bidi w:val="0"/>
        <w:spacing w:line="240" w:lineRule="auto"/>
        <w:jc w:val="both"/>
        <w:rPr>
          <w:rFonts w:ascii="Times New Roman" w:hAnsi="Times New Roman" w:cs="Times New Roman"/>
          <w:sz w:val="28"/>
          <w:szCs w:val="28"/>
          <w:lang w:bidi="ar-IQ"/>
        </w:rPr>
      </w:pPr>
      <w:r w:rsidRPr="008132E8">
        <w:rPr>
          <w:rFonts w:ascii="Times New Roman" w:hAnsi="Times New Roman" w:cs="Times New Roman"/>
          <w:b/>
          <w:bCs/>
          <w:sz w:val="28"/>
          <w:szCs w:val="28"/>
          <w:lang w:bidi="ar-IQ"/>
        </w:rPr>
        <w:tab/>
      </w:r>
      <w:r w:rsidRPr="008132E8">
        <w:rPr>
          <w:rFonts w:ascii="Times New Roman" w:hAnsi="Times New Roman" w:cs="Times New Roman"/>
          <w:sz w:val="28"/>
          <w:szCs w:val="28"/>
          <w:lang w:bidi="ar-IQ"/>
        </w:rPr>
        <w:t xml:space="preserve">Regarding the gender, the results showed that the HBV </w:t>
      </w:r>
      <w:r w:rsidR="004E6CA7" w:rsidRPr="008132E8">
        <w:rPr>
          <w:rFonts w:ascii="Times New Roman" w:hAnsi="Times New Roman" w:cs="Times New Roman"/>
          <w:sz w:val="28"/>
          <w:szCs w:val="28"/>
          <w:lang w:bidi="ar-IQ"/>
        </w:rPr>
        <w:t>sero</w:t>
      </w:r>
      <w:r w:rsidRPr="008132E8">
        <w:rPr>
          <w:rFonts w:ascii="Times New Roman" w:hAnsi="Times New Roman" w:cs="Times New Roman"/>
          <w:sz w:val="28"/>
          <w:szCs w:val="28"/>
          <w:lang w:bidi="ar-IQ"/>
        </w:rPr>
        <w:t xml:space="preserve">positivity rate was significantly higher (p= 0.009) in males compared to females (66.7% </w:t>
      </w:r>
      <w:r w:rsidRPr="008132E8">
        <w:rPr>
          <w:rFonts w:ascii="Times New Roman" w:hAnsi="Times New Roman" w:cs="Times New Roman"/>
          <w:i/>
          <w:iCs/>
          <w:sz w:val="28"/>
          <w:szCs w:val="28"/>
          <w:lang w:bidi="ar-IQ"/>
        </w:rPr>
        <w:t xml:space="preserve">vs </w:t>
      </w:r>
      <w:r w:rsidRPr="008132E8">
        <w:rPr>
          <w:rFonts w:ascii="Times New Roman" w:hAnsi="Times New Roman" w:cs="Times New Roman"/>
          <w:sz w:val="28"/>
          <w:szCs w:val="28"/>
          <w:lang w:bidi="ar-IQ"/>
        </w:rPr>
        <w:t xml:space="preserve">33.3%). Likewise, the HCV </w:t>
      </w:r>
      <w:r w:rsidR="004E6CA7" w:rsidRPr="008132E8">
        <w:rPr>
          <w:rFonts w:ascii="Times New Roman" w:hAnsi="Times New Roman" w:cs="Times New Roman"/>
          <w:sz w:val="28"/>
          <w:szCs w:val="28"/>
          <w:lang w:bidi="ar-IQ"/>
        </w:rPr>
        <w:t>sero</w:t>
      </w:r>
      <w:r w:rsidRPr="008132E8">
        <w:rPr>
          <w:rFonts w:ascii="Times New Roman" w:hAnsi="Times New Roman" w:cs="Times New Roman"/>
          <w:sz w:val="28"/>
          <w:szCs w:val="28"/>
          <w:lang w:bidi="ar-IQ"/>
        </w:rPr>
        <w:t xml:space="preserve">positivity rate was significantly higher in males compared to females (56.1% </w:t>
      </w:r>
      <w:r w:rsidRPr="008132E8">
        <w:rPr>
          <w:rFonts w:ascii="Times New Roman" w:hAnsi="Times New Roman" w:cs="Times New Roman"/>
          <w:i/>
          <w:iCs/>
          <w:sz w:val="28"/>
          <w:szCs w:val="28"/>
          <w:lang w:bidi="ar-IQ"/>
        </w:rPr>
        <w:t>vs</w:t>
      </w:r>
      <w:r w:rsidRPr="008132E8">
        <w:rPr>
          <w:rFonts w:ascii="Times New Roman" w:hAnsi="Times New Roman" w:cs="Times New Roman"/>
          <w:sz w:val="28"/>
          <w:szCs w:val="28"/>
          <w:lang w:bidi="ar-IQ"/>
        </w:rPr>
        <w:t xml:space="preserve"> 43.9%), table (7</w:t>
      </w:r>
      <w:r w:rsidR="00376B0F" w:rsidRPr="008132E8">
        <w:rPr>
          <w:rFonts w:ascii="Times New Roman" w:hAnsi="Times New Roman" w:cs="Times New Roman"/>
          <w:sz w:val="28"/>
          <w:szCs w:val="28"/>
          <w:lang w:bidi="ar-IQ"/>
        </w:rPr>
        <w:t>).</w:t>
      </w:r>
    </w:p>
    <w:p w:rsidR="00025718" w:rsidRPr="008132E8" w:rsidRDefault="00025718" w:rsidP="00376B0F">
      <w:pPr>
        <w:bidi w:val="0"/>
        <w:spacing w:after="0" w:line="240" w:lineRule="auto"/>
        <w:jc w:val="center"/>
        <w:rPr>
          <w:rFonts w:ascii="Times New Roman" w:hAnsi="Times New Roman" w:cs="Times New Roman"/>
          <w:b/>
          <w:bCs/>
          <w:sz w:val="28"/>
          <w:szCs w:val="28"/>
          <w:lang w:bidi="ar-IQ"/>
        </w:rPr>
      </w:pPr>
      <w:r w:rsidRPr="008132E8">
        <w:rPr>
          <w:rFonts w:ascii="Times New Roman" w:hAnsi="Times New Roman" w:cs="Times New Roman"/>
          <w:b/>
          <w:bCs/>
          <w:sz w:val="28"/>
          <w:szCs w:val="28"/>
          <w:lang w:bidi="ar-IQ"/>
        </w:rPr>
        <w:t>Table (7): distribution of HBV and HCV positive cases by gender.</w:t>
      </w:r>
    </w:p>
    <w:tbl>
      <w:tblPr>
        <w:tblStyle w:val="TableGrid"/>
        <w:tblW w:w="0" w:type="auto"/>
        <w:tblLook w:val="04A0"/>
      </w:tblPr>
      <w:tblGrid>
        <w:gridCol w:w="2840"/>
        <w:gridCol w:w="2841"/>
        <w:gridCol w:w="2841"/>
      </w:tblGrid>
      <w:tr w:rsidR="00025718" w:rsidRPr="008132E8" w:rsidTr="00C10F3C">
        <w:tc>
          <w:tcPr>
            <w:tcW w:w="2840" w:type="dxa"/>
            <w:vMerge w:val="restart"/>
            <w:vAlign w:val="center"/>
          </w:tcPr>
          <w:p w:rsidR="00025718" w:rsidRPr="008132E8" w:rsidRDefault="00025718"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District of residence</w:t>
            </w:r>
          </w:p>
        </w:tc>
        <w:tc>
          <w:tcPr>
            <w:tcW w:w="5682" w:type="dxa"/>
            <w:gridSpan w:val="2"/>
          </w:tcPr>
          <w:p w:rsidR="00025718" w:rsidRPr="008132E8" w:rsidRDefault="00025718"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Type of viral hepatitis</w:t>
            </w:r>
          </w:p>
        </w:tc>
      </w:tr>
      <w:tr w:rsidR="00025718" w:rsidRPr="008132E8" w:rsidTr="00C10F3C">
        <w:tc>
          <w:tcPr>
            <w:tcW w:w="2840" w:type="dxa"/>
            <w:vMerge/>
          </w:tcPr>
          <w:p w:rsidR="00025718" w:rsidRPr="008132E8" w:rsidRDefault="00025718" w:rsidP="00376B0F">
            <w:pPr>
              <w:bidi w:val="0"/>
              <w:jc w:val="both"/>
              <w:rPr>
                <w:rFonts w:ascii="Times New Roman" w:hAnsi="Times New Roman" w:cs="Times New Roman"/>
                <w:sz w:val="28"/>
                <w:szCs w:val="28"/>
                <w:lang w:bidi="ar-IQ"/>
              </w:rPr>
            </w:pPr>
          </w:p>
        </w:tc>
        <w:tc>
          <w:tcPr>
            <w:tcW w:w="2841" w:type="dxa"/>
          </w:tcPr>
          <w:p w:rsidR="00025718" w:rsidRPr="008132E8" w:rsidRDefault="00025718"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 xml:space="preserve">HBV </w:t>
            </w:r>
            <w:r w:rsidR="00D30529" w:rsidRPr="008132E8">
              <w:rPr>
                <w:rFonts w:ascii="Times New Roman" w:hAnsi="Times New Roman" w:cs="Times New Roman"/>
                <w:sz w:val="28"/>
                <w:szCs w:val="28"/>
                <w:lang w:bidi="ar-IQ"/>
              </w:rPr>
              <w:t>(No.%)</w:t>
            </w:r>
          </w:p>
        </w:tc>
        <w:tc>
          <w:tcPr>
            <w:tcW w:w="2841" w:type="dxa"/>
          </w:tcPr>
          <w:p w:rsidR="00025718" w:rsidRPr="008132E8" w:rsidRDefault="00025718"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HCV</w:t>
            </w:r>
            <w:r w:rsidR="00D30529" w:rsidRPr="008132E8">
              <w:rPr>
                <w:rFonts w:ascii="Times New Roman" w:hAnsi="Times New Roman" w:cs="Times New Roman"/>
                <w:sz w:val="28"/>
                <w:szCs w:val="28"/>
                <w:lang w:bidi="ar-IQ"/>
              </w:rPr>
              <w:t xml:space="preserve"> (No.%)</w:t>
            </w:r>
          </w:p>
        </w:tc>
      </w:tr>
      <w:tr w:rsidR="00025718" w:rsidRPr="008132E8" w:rsidTr="00C10F3C">
        <w:tc>
          <w:tcPr>
            <w:tcW w:w="2840" w:type="dxa"/>
          </w:tcPr>
          <w:p w:rsidR="00025718" w:rsidRPr="008132E8" w:rsidRDefault="00025718" w:rsidP="00376B0F">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Female</w:t>
            </w:r>
          </w:p>
          <w:p w:rsidR="00025718" w:rsidRPr="008132E8" w:rsidRDefault="00025718" w:rsidP="00376B0F">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Male</w:t>
            </w:r>
          </w:p>
        </w:tc>
        <w:tc>
          <w:tcPr>
            <w:tcW w:w="2841" w:type="dxa"/>
          </w:tcPr>
          <w:p w:rsidR="00025718" w:rsidRPr="008132E8" w:rsidRDefault="00025718" w:rsidP="00376B0F">
            <w:pPr>
              <w:tabs>
                <w:tab w:val="left" w:pos="690"/>
                <w:tab w:val="left" w:pos="780"/>
              </w:tabs>
              <w:bidi w:val="0"/>
              <w:rPr>
                <w:rFonts w:ascii="Times New Roman" w:hAnsi="Times New Roman" w:cs="Times New Roman"/>
                <w:sz w:val="28"/>
                <w:szCs w:val="28"/>
                <w:lang w:bidi="ar-IQ"/>
              </w:rPr>
            </w:pPr>
            <w:r w:rsidRPr="008132E8">
              <w:rPr>
                <w:rFonts w:ascii="Times New Roman" w:hAnsi="Times New Roman" w:cs="Times New Roman"/>
                <w:sz w:val="28"/>
                <w:szCs w:val="28"/>
                <w:lang w:bidi="ar-IQ"/>
              </w:rPr>
              <w:tab/>
            </w:r>
            <w:r w:rsidRPr="008132E8">
              <w:rPr>
                <w:rFonts w:ascii="Times New Roman" w:hAnsi="Times New Roman" w:cs="Times New Roman"/>
                <w:sz w:val="28"/>
                <w:szCs w:val="28"/>
                <w:lang w:bidi="ar-IQ"/>
              </w:rPr>
              <w:tab/>
              <w:t>158 (33.3)</w:t>
            </w:r>
          </w:p>
          <w:p w:rsidR="00025718" w:rsidRPr="008132E8" w:rsidRDefault="00025718" w:rsidP="00376B0F">
            <w:pPr>
              <w:tabs>
                <w:tab w:val="left" w:pos="690"/>
                <w:tab w:val="left" w:pos="780"/>
              </w:tabs>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317(66.7)</w:t>
            </w:r>
          </w:p>
        </w:tc>
        <w:tc>
          <w:tcPr>
            <w:tcW w:w="2841" w:type="dxa"/>
          </w:tcPr>
          <w:p w:rsidR="00025718" w:rsidRPr="008132E8" w:rsidRDefault="00025718"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86(43.9)</w:t>
            </w:r>
          </w:p>
          <w:p w:rsidR="00025718" w:rsidRPr="008132E8" w:rsidRDefault="00025718" w:rsidP="00376B0F">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110(56.1)</w:t>
            </w:r>
          </w:p>
        </w:tc>
      </w:tr>
      <w:tr w:rsidR="00025718" w:rsidRPr="008132E8" w:rsidTr="00C10F3C">
        <w:tc>
          <w:tcPr>
            <w:tcW w:w="2840" w:type="dxa"/>
          </w:tcPr>
          <w:p w:rsidR="00025718" w:rsidRPr="008132E8" w:rsidRDefault="00025718" w:rsidP="00376B0F">
            <w:pPr>
              <w:bidi w:val="0"/>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Total</w:t>
            </w:r>
          </w:p>
        </w:tc>
        <w:tc>
          <w:tcPr>
            <w:tcW w:w="2841" w:type="dxa"/>
          </w:tcPr>
          <w:p w:rsidR="00025718" w:rsidRPr="008132E8" w:rsidRDefault="00025718" w:rsidP="00C10F3C">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475 (100)</w:t>
            </w:r>
          </w:p>
        </w:tc>
        <w:tc>
          <w:tcPr>
            <w:tcW w:w="2841" w:type="dxa"/>
          </w:tcPr>
          <w:p w:rsidR="00025718" w:rsidRPr="008132E8" w:rsidRDefault="00025718" w:rsidP="00C10F3C">
            <w:pPr>
              <w:bidi w:val="0"/>
              <w:jc w:val="center"/>
              <w:rPr>
                <w:rFonts w:ascii="Times New Roman" w:hAnsi="Times New Roman" w:cs="Times New Roman"/>
                <w:sz w:val="28"/>
                <w:szCs w:val="28"/>
                <w:lang w:bidi="ar-IQ"/>
              </w:rPr>
            </w:pPr>
            <w:r w:rsidRPr="008132E8">
              <w:rPr>
                <w:rFonts w:ascii="Times New Roman" w:hAnsi="Times New Roman" w:cs="Times New Roman"/>
                <w:sz w:val="28"/>
                <w:szCs w:val="28"/>
                <w:lang w:bidi="ar-IQ"/>
              </w:rPr>
              <w:t>196 (100)</w:t>
            </w:r>
          </w:p>
        </w:tc>
      </w:tr>
    </w:tbl>
    <w:p w:rsidR="00362067" w:rsidRPr="008132E8" w:rsidRDefault="00362067" w:rsidP="00362067">
      <w:pPr>
        <w:bidi w:val="0"/>
        <w:spacing w:line="240" w:lineRule="auto"/>
        <w:jc w:val="both"/>
        <w:rPr>
          <w:rFonts w:ascii="Times New Roman" w:hAnsi="Times New Roman" w:cs="Times New Roman"/>
          <w:b/>
          <w:bCs/>
          <w:sz w:val="28"/>
          <w:szCs w:val="28"/>
          <w:lang w:bidi="ar-IQ"/>
        </w:rPr>
      </w:pPr>
    </w:p>
    <w:p w:rsidR="00025718" w:rsidRPr="008132E8" w:rsidRDefault="00811E55" w:rsidP="00362067">
      <w:pPr>
        <w:bidi w:val="0"/>
        <w:spacing w:line="240" w:lineRule="auto"/>
        <w:jc w:val="both"/>
        <w:rPr>
          <w:rFonts w:ascii="Times New Roman" w:hAnsi="Times New Roman" w:cs="Times New Roman"/>
          <w:b/>
          <w:bCs/>
          <w:sz w:val="28"/>
          <w:szCs w:val="28"/>
          <w:lang w:bidi="ar-IQ"/>
        </w:rPr>
      </w:pPr>
      <w:r w:rsidRPr="008132E8">
        <w:rPr>
          <w:rFonts w:ascii="Times New Roman" w:hAnsi="Times New Roman" w:cs="Times New Roman"/>
          <w:b/>
          <w:bCs/>
          <w:sz w:val="28"/>
          <w:szCs w:val="28"/>
          <w:lang w:bidi="ar-IQ"/>
        </w:rPr>
        <w:t>Discussion:</w:t>
      </w:r>
    </w:p>
    <w:p w:rsidR="00811E55" w:rsidRPr="008132E8" w:rsidRDefault="00811E55" w:rsidP="00CB3A3F">
      <w:pPr>
        <w:bidi w:val="0"/>
        <w:spacing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ab/>
        <w:t xml:space="preserve">Hepatitis B and hepatitis C virus infections </w:t>
      </w:r>
      <w:r w:rsidR="007F5AE4" w:rsidRPr="008132E8">
        <w:rPr>
          <w:rFonts w:ascii="Times New Roman" w:hAnsi="Times New Roman" w:cs="Times New Roman"/>
          <w:sz w:val="28"/>
          <w:szCs w:val="28"/>
          <w:lang w:bidi="ar-IQ"/>
        </w:rPr>
        <w:t>are of major public</w:t>
      </w:r>
      <w:r w:rsidR="00505CA1" w:rsidRPr="008132E8">
        <w:rPr>
          <w:rFonts w:ascii="Times New Roman" w:hAnsi="Times New Roman" w:cs="Times New Roman"/>
          <w:sz w:val="28"/>
          <w:szCs w:val="28"/>
          <w:lang w:bidi="ar-IQ"/>
        </w:rPr>
        <w:t xml:space="preserve"> </w:t>
      </w:r>
      <w:r w:rsidR="00DF251D" w:rsidRPr="008132E8">
        <w:rPr>
          <w:rFonts w:ascii="Times New Roman" w:hAnsi="Times New Roman" w:cs="Times New Roman"/>
          <w:sz w:val="28"/>
          <w:szCs w:val="28"/>
          <w:lang w:bidi="ar-IQ"/>
        </w:rPr>
        <w:t>health concern</w:t>
      </w:r>
      <w:r w:rsidR="007F5AE4" w:rsidRPr="008132E8">
        <w:rPr>
          <w:rFonts w:ascii="Times New Roman" w:hAnsi="Times New Roman" w:cs="Times New Roman"/>
          <w:sz w:val="28"/>
          <w:szCs w:val="28"/>
          <w:lang w:bidi="ar-IQ"/>
        </w:rPr>
        <w:t xml:space="preserve"> due to their serious complications on one hand, and their transmission by routes that permits intrafamilial spread on the other hand </w:t>
      </w:r>
      <w:r w:rsidR="007F5AE4" w:rsidRPr="008132E8">
        <w:rPr>
          <w:rFonts w:ascii="Times New Roman" w:hAnsi="Times New Roman" w:cs="Times New Roman"/>
          <w:b/>
          <w:bCs/>
          <w:sz w:val="28"/>
          <w:szCs w:val="28"/>
          <w:vertAlign w:val="superscript"/>
          <w:lang w:bidi="ar-IQ"/>
        </w:rPr>
        <w:t>[2,4,</w:t>
      </w:r>
      <w:r w:rsidR="00FE7CF1" w:rsidRPr="008132E8">
        <w:rPr>
          <w:rFonts w:ascii="Times New Roman" w:hAnsi="Times New Roman" w:cs="Times New Roman"/>
          <w:b/>
          <w:bCs/>
          <w:sz w:val="28"/>
          <w:szCs w:val="28"/>
          <w:vertAlign w:val="superscript"/>
          <w:lang w:bidi="ar-IQ"/>
        </w:rPr>
        <w:t>9,11</w:t>
      </w:r>
      <w:r w:rsidR="00116129" w:rsidRPr="008132E8">
        <w:rPr>
          <w:rFonts w:ascii="Times New Roman" w:hAnsi="Times New Roman" w:cs="Times New Roman"/>
          <w:b/>
          <w:bCs/>
          <w:sz w:val="28"/>
          <w:szCs w:val="28"/>
          <w:vertAlign w:val="superscript"/>
          <w:lang w:bidi="ar-IQ"/>
        </w:rPr>
        <w:t>,12</w:t>
      </w:r>
      <w:r w:rsidR="00FE7CF1" w:rsidRPr="008132E8">
        <w:rPr>
          <w:rFonts w:ascii="Times New Roman" w:hAnsi="Times New Roman" w:cs="Times New Roman"/>
          <w:b/>
          <w:bCs/>
          <w:sz w:val="28"/>
          <w:szCs w:val="28"/>
          <w:vertAlign w:val="superscript"/>
          <w:lang w:bidi="ar-IQ"/>
        </w:rPr>
        <w:t>]</w:t>
      </w:r>
      <w:r w:rsidR="00FE7CF1" w:rsidRPr="008132E8">
        <w:rPr>
          <w:rFonts w:ascii="Times New Roman" w:hAnsi="Times New Roman" w:cs="Times New Roman"/>
          <w:sz w:val="28"/>
          <w:szCs w:val="28"/>
          <w:lang w:bidi="ar-IQ"/>
        </w:rPr>
        <w:t>.</w:t>
      </w:r>
      <w:r w:rsidR="00DF251D" w:rsidRPr="008132E8">
        <w:rPr>
          <w:rFonts w:ascii="Times New Roman" w:hAnsi="Times New Roman" w:cs="Times New Roman"/>
          <w:sz w:val="28"/>
          <w:szCs w:val="28"/>
          <w:lang w:bidi="ar-IQ"/>
        </w:rPr>
        <w:t xml:space="preserve"> </w:t>
      </w:r>
      <w:r w:rsidR="00865EDA" w:rsidRPr="008132E8">
        <w:rPr>
          <w:rFonts w:ascii="Times New Roman" w:hAnsi="Times New Roman" w:cs="Times New Roman"/>
          <w:sz w:val="28"/>
          <w:szCs w:val="28"/>
          <w:lang w:bidi="ar-IQ"/>
        </w:rPr>
        <w:t xml:space="preserve">Comparing with our previous studies on the </w:t>
      </w:r>
      <w:r w:rsidR="00C112A4" w:rsidRPr="008132E8">
        <w:rPr>
          <w:rFonts w:ascii="Times New Roman" w:hAnsi="Times New Roman" w:cs="Times New Roman"/>
          <w:sz w:val="28"/>
          <w:szCs w:val="28"/>
          <w:lang w:bidi="ar-IQ"/>
        </w:rPr>
        <w:t>sero</w:t>
      </w:r>
      <w:r w:rsidR="00865EDA" w:rsidRPr="008132E8">
        <w:rPr>
          <w:rFonts w:ascii="Times New Roman" w:hAnsi="Times New Roman" w:cs="Times New Roman"/>
          <w:sz w:val="28"/>
          <w:szCs w:val="28"/>
          <w:lang w:bidi="ar-IQ"/>
        </w:rPr>
        <w:t xml:space="preserve">prevalence of HBV and HCV in Diyala province before year 2003 </w:t>
      </w:r>
      <w:r w:rsidR="00865EDA" w:rsidRPr="008132E8">
        <w:rPr>
          <w:rFonts w:ascii="Times New Roman" w:hAnsi="Times New Roman" w:cs="Times New Roman"/>
          <w:b/>
          <w:bCs/>
          <w:sz w:val="28"/>
          <w:szCs w:val="28"/>
          <w:vertAlign w:val="superscript"/>
          <w:lang w:bidi="ar-IQ"/>
        </w:rPr>
        <w:t>[13,15]</w:t>
      </w:r>
      <w:r w:rsidR="00865EDA" w:rsidRPr="008132E8">
        <w:rPr>
          <w:rFonts w:ascii="Times New Roman" w:hAnsi="Times New Roman" w:cs="Times New Roman"/>
          <w:sz w:val="28"/>
          <w:szCs w:val="28"/>
          <w:lang w:bidi="ar-IQ"/>
        </w:rPr>
        <w:t xml:space="preserve">, the present study found that the </w:t>
      </w:r>
      <w:r w:rsidR="00C112A4" w:rsidRPr="008132E8">
        <w:rPr>
          <w:rFonts w:ascii="Times New Roman" w:hAnsi="Times New Roman" w:cs="Times New Roman"/>
          <w:sz w:val="28"/>
          <w:szCs w:val="28"/>
          <w:lang w:bidi="ar-IQ"/>
        </w:rPr>
        <w:t>sero</w:t>
      </w:r>
      <w:r w:rsidR="00865EDA" w:rsidRPr="008132E8">
        <w:rPr>
          <w:rFonts w:ascii="Times New Roman" w:hAnsi="Times New Roman" w:cs="Times New Roman"/>
          <w:sz w:val="28"/>
          <w:szCs w:val="28"/>
          <w:lang w:bidi="ar-IQ"/>
        </w:rPr>
        <w:t>prevalence of HBV infection is dropped down (1.6% and 0.55%) respectively.</w:t>
      </w:r>
      <w:r w:rsidR="00BC4BB4" w:rsidRPr="008132E8">
        <w:rPr>
          <w:rFonts w:ascii="Times New Roman" w:hAnsi="Times New Roman" w:cs="Times New Roman"/>
          <w:sz w:val="28"/>
          <w:szCs w:val="28"/>
          <w:lang w:bidi="ar-IQ"/>
        </w:rPr>
        <w:t xml:space="preserve"> </w:t>
      </w:r>
      <w:r w:rsidR="00011FDB" w:rsidRPr="008132E8">
        <w:rPr>
          <w:rFonts w:ascii="Times New Roman" w:hAnsi="Times New Roman" w:cs="Times New Roman"/>
          <w:sz w:val="28"/>
          <w:szCs w:val="28"/>
          <w:lang w:bidi="ar-IQ"/>
        </w:rPr>
        <w:t xml:space="preserve">These encouraging results may be due to the implementation of HB vaccine in the national program of immunization </w:t>
      </w:r>
      <w:r w:rsidR="00964E12" w:rsidRPr="008132E8">
        <w:rPr>
          <w:rFonts w:ascii="Times New Roman" w:hAnsi="Times New Roman" w:cs="Times New Roman"/>
          <w:sz w:val="28"/>
          <w:szCs w:val="28"/>
          <w:lang w:bidi="ar-IQ"/>
        </w:rPr>
        <w:t xml:space="preserve">for newborns and risky groups </w:t>
      </w:r>
      <w:r w:rsidR="00011FDB" w:rsidRPr="008132E8">
        <w:rPr>
          <w:rFonts w:ascii="Times New Roman" w:hAnsi="Times New Roman" w:cs="Times New Roman"/>
          <w:sz w:val="28"/>
          <w:szCs w:val="28"/>
          <w:lang w:bidi="ar-IQ"/>
        </w:rPr>
        <w:t>since 1989.</w:t>
      </w:r>
      <w:r w:rsidR="00964E12" w:rsidRPr="008132E8">
        <w:rPr>
          <w:rFonts w:ascii="Times New Roman" w:hAnsi="Times New Roman" w:cs="Times New Roman"/>
          <w:sz w:val="28"/>
          <w:szCs w:val="28"/>
          <w:lang w:bidi="ar-IQ"/>
        </w:rPr>
        <w:t xml:space="preserve"> Although there is no national evaluation of vaccines; nevertheless, the vaccine was proved </w:t>
      </w:r>
      <w:r w:rsidR="0098116B" w:rsidRPr="008132E8">
        <w:rPr>
          <w:rFonts w:ascii="Times New Roman" w:hAnsi="Times New Roman" w:cs="Times New Roman"/>
          <w:sz w:val="28"/>
          <w:szCs w:val="28"/>
          <w:lang w:bidi="ar-IQ"/>
        </w:rPr>
        <w:t xml:space="preserve">its high immunogenicity and efficacious elsewhere </w:t>
      </w:r>
      <w:r w:rsidR="0098116B" w:rsidRPr="008132E8">
        <w:rPr>
          <w:rFonts w:ascii="Times New Roman" w:hAnsi="Times New Roman" w:cs="Times New Roman"/>
          <w:b/>
          <w:bCs/>
          <w:sz w:val="28"/>
          <w:szCs w:val="28"/>
          <w:vertAlign w:val="superscript"/>
          <w:lang w:bidi="ar-IQ"/>
        </w:rPr>
        <w:t>[17</w:t>
      </w:r>
      <w:r w:rsidR="00FC7BEB" w:rsidRPr="008132E8">
        <w:rPr>
          <w:rFonts w:ascii="Times New Roman" w:hAnsi="Times New Roman" w:cs="Times New Roman"/>
          <w:b/>
          <w:bCs/>
          <w:sz w:val="28"/>
          <w:szCs w:val="28"/>
          <w:vertAlign w:val="superscript"/>
          <w:lang w:bidi="ar-IQ"/>
        </w:rPr>
        <w:t>-19</w:t>
      </w:r>
      <w:r w:rsidR="0098116B" w:rsidRPr="008132E8">
        <w:rPr>
          <w:rFonts w:ascii="Times New Roman" w:hAnsi="Times New Roman" w:cs="Times New Roman"/>
          <w:b/>
          <w:bCs/>
          <w:sz w:val="28"/>
          <w:szCs w:val="28"/>
          <w:vertAlign w:val="superscript"/>
          <w:lang w:bidi="ar-IQ"/>
        </w:rPr>
        <w:t>]</w:t>
      </w:r>
      <w:r w:rsidR="0098116B" w:rsidRPr="008132E8">
        <w:rPr>
          <w:rFonts w:ascii="Times New Roman" w:hAnsi="Times New Roman" w:cs="Times New Roman"/>
          <w:sz w:val="28"/>
          <w:szCs w:val="28"/>
          <w:lang w:bidi="ar-IQ"/>
        </w:rPr>
        <w:t>.</w:t>
      </w:r>
      <w:r w:rsidR="00011FDB" w:rsidRPr="008132E8">
        <w:rPr>
          <w:rFonts w:ascii="Times New Roman" w:hAnsi="Times New Roman" w:cs="Times New Roman"/>
          <w:sz w:val="28"/>
          <w:szCs w:val="28"/>
          <w:lang w:bidi="ar-IQ"/>
        </w:rPr>
        <w:t xml:space="preserve"> </w:t>
      </w:r>
      <w:r w:rsidR="00BB393C" w:rsidRPr="008132E8">
        <w:rPr>
          <w:rFonts w:ascii="Times New Roman" w:hAnsi="Times New Roman" w:cs="Times New Roman"/>
          <w:sz w:val="28"/>
          <w:szCs w:val="28"/>
          <w:lang w:bidi="ar-IQ"/>
        </w:rPr>
        <w:t xml:space="preserve">Another explanation for the decline in the </w:t>
      </w:r>
      <w:r w:rsidR="00C112A4" w:rsidRPr="008132E8">
        <w:rPr>
          <w:rFonts w:ascii="Times New Roman" w:hAnsi="Times New Roman" w:cs="Times New Roman"/>
          <w:sz w:val="28"/>
          <w:szCs w:val="28"/>
          <w:lang w:bidi="ar-IQ"/>
        </w:rPr>
        <w:t>sero</w:t>
      </w:r>
      <w:r w:rsidR="00BB393C" w:rsidRPr="008132E8">
        <w:rPr>
          <w:rFonts w:ascii="Times New Roman" w:hAnsi="Times New Roman" w:cs="Times New Roman"/>
          <w:sz w:val="28"/>
          <w:szCs w:val="28"/>
          <w:lang w:bidi="ar-IQ"/>
        </w:rPr>
        <w:t xml:space="preserve">prevalence of HBV infection is the cumulative health knowledge of the general population as a result of intensive education programs carried out during the 1990s. </w:t>
      </w:r>
      <w:r w:rsidR="00F917A0" w:rsidRPr="008132E8">
        <w:rPr>
          <w:rFonts w:ascii="Times New Roman" w:hAnsi="Times New Roman" w:cs="Times New Roman"/>
          <w:sz w:val="28"/>
          <w:szCs w:val="28"/>
          <w:lang w:bidi="ar-IQ"/>
        </w:rPr>
        <w:t xml:space="preserve">On the other hand, the </w:t>
      </w:r>
      <w:r w:rsidR="008E67B0" w:rsidRPr="008132E8">
        <w:rPr>
          <w:rFonts w:ascii="Times New Roman" w:hAnsi="Times New Roman" w:cs="Times New Roman"/>
          <w:sz w:val="28"/>
          <w:szCs w:val="28"/>
          <w:lang w:bidi="ar-IQ"/>
        </w:rPr>
        <w:t>tragedic deterioration of security situation during 2003 and upward intermittently retarded the infectious disease control programs</w:t>
      </w:r>
      <w:r w:rsidR="00C945F5" w:rsidRPr="008132E8">
        <w:rPr>
          <w:rFonts w:ascii="Times New Roman" w:hAnsi="Times New Roman" w:cs="Times New Roman"/>
          <w:sz w:val="28"/>
          <w:szCs w:val="28"/>
          <w:lang w:bidi="ar-IQ"/>
        </w:rPr>
        <w:t xml:space="preserve">. </w:t>
      </w:r>
      <w:r w:rsidR="00CB3A3F">
        <w:rPr>
          <w:rFonts w:ascii="Times New Roman" w:hAnsi="Times New Roman" w:cs="Times New Roman"/>
          <w:sz w:val="28"/>
          <w:szCs w:val="28"/>
          <w:lang w:bidi="ar-IQ"/>
        </w:rPr>
        <w:t>Hepatitis B</w:t>
      </w:r>
      <w:r w:rsidR="00C945F5" w:rsidRPr="008132E8">
        <w:rPr>
          <w:rFonts w:ascii="Times New Roman" w:hAnsi="Times New Roman" w:cs="Times New Roman"/>
          <w:sz w:val="28"/>
          <w:szCs w:val="28"/>
          <w:lang w:bidi="ar-IQ"/>
        </w:rPr>
        <w:t xml:space="preserve"> surveillance and </w:t>
      </w:r>
      <w:r w:rsidR="007270AE" w:rsidRPr="008132E8">
        <w:rPr>
          <w:rFonts w:ascii="Times New Roman" w:hAnsi="Times New Roman" w:cs="Times New Roman"/>
          <w:sz w:val="28"/>
          <w:szCs w:val="28"/>
          <w:lang w:bidi="ar-IQ"/>
        </w:rPr>
        <w:t>counseling system</w:t>
      </w:r>
      <w:r w:rsidR="00CB3A3F">
        <w:rPr>
          <w:rFonts w:ascii="Times New Roman" w:hAnsi="Times New Roman" w:cs="Times New Roman"/>
          <w:sz w:val="28"/>
          <w:szCs w:val="28"/>
          <w:lang w:bidi="ar-IQ"/>
        </w:rPr>
        <w:t xml:space="preserve"> and even vaccination</w:t>
      </w:r>
      <w:r w:rsidR="00C945F5" w:rsidRPr="008132E8">
        <w:rPr>
          <w:rFonts w:ascii="Times New Roman" w:hAnsi="Times New Roman" w:cs="Times New Roman"/>
          <w:sz w:val="28"/>
          <w:szCs w:val="28"/>
          <w:lang w:bidi="ar-IQ"/>
        </w:rPr>
        <w:t xml:space="preserve"> </w:t>
      </w:r>
      <w:r w:rsidR="00CB3A3F">
        <w:rPr>
          <w:rFonts w:ascii="Times New Roman" w:hAnsi="Times New Roman" w:cs="Times New Roman"/>
          <w:sz w:val="28"/>
          <w:szCs w:val="28"/>
          <w:lang w:bidi="ar-IQ"/>
        </w:rPr>
        <w:t>are</w:t>
      </w:r>
      <w:r w:rsidR="00C945F5" w:rsidRPr="008132E8">
        <w:rPr>
          <w:rFonts w:ascii="Times New Roman" w:hAnsi="Times New Roman" w:cs="Times New Roman"/>
          <w:sz w:val="28"/>
          <w:szCs w:val="28"/>
          <w:lang w:bidi="ar-IQ"/>
        </w:rPr>
        <w:t xml:space="preserve"> </w:t>
      </w:r>
      <w:r w:rsidR="007270AE" w:rsidRPr="008132E8">
        <w:rPr>
          <w:rFonts w:ascii="Times New Roman" w:hAnsi="Times New Roman" w:cs="Times New Roman"/>
          <w:sz w:val="28"/>
          <w:szCs w:val="28"/>
          <w:lang w:bidi="ar-IQ"/>
        </w:rPr>
        <w:t>of these</w:t>
      </w:r>
      <w:r w:rsidR="00C945F5" w:rsidRPr="008132E8">
        <w:rPr>
          <w:rFonts w:ascii="Times New Roman" w:hAnsi="Times New Roman" w:cs="Times New Roman"/>
          <w:sz w:val="28"/>
          <w:szCs w:val="28"/>
          <w:lang w:bidi="ar-IQ"/>
        </w:rPr>
        <w:t xml:space="preserve"> affected programs that </w:t>
      </w:r>
      <w:r w:rsidR="007270AE" w:rsidRPr="008132E8">
        <w:rPr>
          <w:rFonts w:ascii="Times New Roman" w:hAnsi="Times New Roman" w:cs="Times New Roman"/>
          <w:sz w:val="28"/>
          <w:szCs w:val="28"/>
          <w:lang w:bidi="ar-IQ"/>
        </w:rPr>
        <w:t>undoubtedly resulting</w:t>
      </w:r>
      <w:r w:rsidR="00C945F5" w:rsidRPr="008132E8">
        <w:rPr>
          <w:rFonts w:ascii="Times New Roman" w:hAnsi="Times New Roman" w:cs="Times New Roman"/>
          <w:sz w:val="28"/>
          <w:szCs w:val="28"/>
          <w:lang w:bidi="ar-IQ"/>
        </w:rPr>
        <w:t xml:space="preserve"> in</w:t>
      </w:r>
      <w:r w:rsidR="008E67B0" w:rsidRPr="008132E8">
        <w:rPr>
          <w:rFonts w:ascii="Times New Roman" w:hAnsi="Times New Roman" w:cs="Times New Roman"/>
          <w:sz w:val="28"/>
          <w:szCs w:val="28"/>
          <w:lang w:bidi="ar-IQ"/>
        </w:rPr>
        <w:t xml:space="preserve"> </w:t>
      </w:r>
      <w:r w:rsidR="00F917A0" w:rsidRPr="008132E8">
        <w:rPr>
          <w:rFonts w:ascii="Times New Roman" w:hAnsi="Times New Roman" w:cs="Times New Roman"/>
          <w:sz w:val="28"/>
          <w:szCs w:val="28"/>
          <w:lang w:bidi="ar-IQ"/>
        </w:rPr>
        <w:t>under recoding of HBV positive cases</w:t>
      </w:r>
      <w:r w:rsidR="008132E8" w:rsidRPr="008132E8">
        <w:rPr>
          <w:rFonts w:ascii="Times New Roman" w:hAnsi="Times New Roman" w:cs="Times New Roman"/>
          <w:sz w:val="28"/>
          <w:szCs w:val="28"/>
          <w:lang w:bidi="ar-IQ"/>
        </w:rPr>
        <w:t xml:space="preserve"> </w:t>
      </w:r>
      <w:r w:rsidR="008132E8" w:rsidRPr="008132E8">
        <w:rPr>
          <w:rFonts w:ascii="Times New Roman" w:hAnsi="Times New Roman" w:cs="Times New Roman"/>
          <w:b/>
          <w:bCs/>
          <w:sz w:val="28"/>
          <w:szCs w:val="28"/>
          <w:vertAlign w:val="superscript"/>
          <w:lang w:bidi="ar-IQ"/>
        </w:rPr>
        <w:t>[20]</w:t>
      </w:r>
      <w:r w:rsidR="00C945F5" w:rsidRPr="008132E8">
        <w:rPr>
          <w:rFonts w:ascii="Times New Roman" w:hAnsi="Times New Roman" w:cs="Times New Roman"/>
          <w:sz w:val="28"/>
          <w:szCs w:val="28"/>
          <w:lang w:bidi="ar-IQ"/>
        </w:rPr>
        <w:t>.</w:t>
      </w:r>
      <w:r w:rsidR="005474E4" w:rsidRPr="008132E8">
        <w:rPr>
          <w:rFonts w:ascii="Times New Roman" w:hAnsi="Times New Roman" w:cs="Times New Roman"/>
          <w:sz w:val="28"/>
          <w:szCs w:val="28"/>
          <w:lang w:bidi="ar-IQ"/>
        </w:rPr>
        <w:t xml:space="preserve"> </w:t>
      </w:r>
    </w:p>
    <w:p w:rsidR="00F90C8F" w:rsidRPr="008132E8" w:rsidRDefault="007270AE" w:rsidP="008132E8">
      <w:pPr>
        <w:bidi w:val="0"/>
        <w:spacing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lastRenderedPageBreak/>
        <w:tab/>
        <w:t>Unlike HBV infection, HCV infection ch</w:t>
      </w:r>
      <w:r w:rsidR="000900C7" w:rsidRPr="008132E8">
        <w:rPr>
          <w:rFonts w:ascii="Times New Roman" w:hAnsi="Times New Roman" w:cs="Times New Roman"/>
          <w:sz w:val="28"/>
          <w:szCs w:val="28"/>
          <w:lang w:bidi="ar-IQ"/>
        </w:rPr>
        <w:t xml:space="preserve">aracterized by low plasma viral </w:t>
      </w:r>
      <w:r w:rsidRPr="008132E8">
        <w:rPr>
          <w:rFonts w:ascii="Times New Roman" w:hAnsi="Times New Roman" w:cs="Times New Roman"/>
          <w:sz w:val="28"/>
          <w:szCs w:val="28"/>
          <w:lang w:bidi="ar-IQ"/>
        </w:rPr>
        <w:t>load, long incubation period that may extend to 3 months, the majority of infections are asymptomatic</w:t>
      </w:r>
      <w:r w:rsidR="00EB721F" w:rsidRPr="008132E8">
        <w:rPr>
          <w:rFonts w:ascii="Times New Roman" w:hAnsi="Times New Roman" w:cs="Times New Roman"/>
          <w:sz w:val="28"/>
          <w:szCs w:val="28"/>
          <w:lang w:bidi="ar-IQ"/>
        </w:rPr>
        <w:t>, and the high chronicity rate</w:t>
      </w:r>
      <w:r w:rsidRPr="008132E8">
        <w:rPr>
          <w:rFonts w:ascii="Times New Roman" w:hAnsi="Times New Roman" w:cs="Times New Roman"/>
          <w:sz w:val="28"/>
          <w:szCs w:val="28"/>
          <w:lang w:bidi="ar-IQ"/>
        </w:rPr>
        <w:t xml:space="preserve"> </w:t>
      </w:r>
      <w:r w:rsidRPr="008132E8">
        <w:rPr>
          <w:rFonts w:ascii="Times New Roman" w:hAnsi="Times New Roman" w:cs="Times New Roman"/>
          <w:b/>
          <w:bCs/>
          <w:sz w:val="28"/>
          <w:szCs w:val="28"/>
          <w:vertAlign w:val="superscript"/>
          <w:lang w:bidi="ar-IQ"/>
        </w:rPr>
        <w:t>[</w:t>
      </w:r>
      <w:r w:rsidR="00946FDD" w:rsidRPr="008132E8">
        <w:rPr>
          <w:rFonts w:ascii="Times New Roman" w:hAnsi="Times New Roman" w:cs="Times New Roman"/>
          <w:b/>
          <w:bCs/>
          <w:sz w:val="28"/>
          <w:szCs w:val="28"/>
          <w:vertAlign w:val="superscript"/>
          <w:lang w:bidi="ar-IQ"/>
        </w:rPr>
        <w:t>2</w:t>
      </w:r>
      <w:r w:rsidR="008132E8">
        <w:rPr>
          <w:rFonts w:ascii="Times New Roman" w:hAnsi="Times New Roman" w:cs="Times New Roman"/>
          <w:b/>
          <w:bCs/>
          <w:sz w:val="28"/>
          <w:szCs w:val="28"/>
          <w:vertAlign w:val="superscript"/>
          <w:lang w:bidi="ar-IQ"/>
        </w:rPr>
        <w:t>1</w:t>
      </w:r>
      <w:r w:rsidR="00946FDD" w:rsidRPr="008132E8">
        <w:rPr>
          <w:rFonts w:ascii="Times New Roman" w:hAnsi="Times New Roman" w:cs="Times New Roman"/>
          <w:b/>
          <w:bCs/>
          <w:sz w:val="28"/>
          <w:szCs w:val="28"/>
          <w:vertAlign w:val="superscript"/>
          <w:lang w:bidi="ar-IQ"/>
        </w:rPr>
        <w:t>,2</w:t>
      </w:r>
      <w:r w:rsidR="008132E8">
        <w:rPr>
          <w:rFonts w:ascii="Times New Roman" w:hAnsi="Times New Roman" w:cs="Times New Roman"/>
          <w:b/>
          <w:bCs/>
          <w:sz w:val="28"/>
          <w:szCs w:val="28"/>
          <w:vertAlign w:val="superscript"/>
          <w:lang w:bidi="ar-IQ"/>
        </w:rPr>
        <w:t>2</w:t>
      </w:r>
      <w:r w:rsidR="00946FDD" w:rsidRPr="008132E8">
        <w:rPr>
          <w:rFonts w:ascii="Times New Roman" w:hAnsi="Times New Roman" w:cs="Times New Roman"/>
          <w:b/>
          <w:bCs/>
          <w:sz w:val="28"/>
          <w:szCs w:val="28"/>
          <w:vertAlign w:val="superscript"/>
          <w:lang w:bidi="ar-IQ"/>
        </w:rPr>
        <w:t>]</w:t>
      </w:r>
      <w:r w:rsidR="00946FDD" w:rsidRPr="008132E8">
        <w:rPr>
          <w:rFonts w:ascii="Times New Roman" w:hAnsi="Times New Roman" w:cs="Times New Roman"/>
          <w:sz w:val="28"/>
          <w:szCs w:val="28"/>
          <w:lang w:bidi="ar-IQ"/>
        </w:rPr>
        <w:t>.</w:t>
      </w:r>
      <w:r w:rsidR="00EB721F" w:rsidRPr="008132E8">
        <w:rPr>
          <w:rFonts w:ascii="Times New Roman" w:hAnsi="Times New Roman" w:cs="Times New Roman"/>
          <w:sz w:val="28"/>
          <w:szCs w:val="28"/>
          <w:lang w:bidi="ar-IQ"/>
        </w:rPr>
        <w:t xml:space="preserve"> These factors delay the</w:t>
      </w:r>
      <w:r w:rsidR="00A303E1" w:rsidRPr="008132E8">
        <w:rPr>
          <w:rFonts w:ascii="Times New Roman" w:hAnsi="Times New Roman" w:cs="Times New Roman"/>
          <w:sz w:val="28"/>
          <w:szCs w:val="28"/>
          <w:lang w:bidi="ar-IQ"/>
        </w:rPr>
        <w:t xml:space="preserve"> seroconversion</w:t>
      </w:r>
      <w:r w:rsidR="000900C7" w:rsidRPr="008132E8">
        <w:rPr>
          <w:rFonts w:ascii="Times New Roman" w:hAnsi="Times New Roman" w:cs="Times New Roman"/>
          <w:sz w:val="28"/>
          <w:szCs w:val="28"/>
          <w:lang w:bidi="ar-IQ"/>
        </w:rPr>
        <w:t xml:space="preserve"> </w:t>
      </w:r>
      <w:r w:rsidR="00A303E1" w:rsidRPr="008132E8">
        <w:rPr>
          <w:rFonts w:ascii="Times New Roman" w:hAnsi="Times New Roman" w:cs="Times New Roman"/>
          <w:sz w:val="28"/>
          <w:szCs w:val="28"/>
          <w:lang w:bidi="ar-IQ"/>
        </w:rPr>
        <w:t>and consequently the serological</w:t>
      </w:r>
      <w:r w:rsidR="00EB721F" w:rsidRPr="008132E8">
        <w:rPr>
          <w:rFonts w:ascii="Times New Roman" w:hAnsi="Times New Roman" w:cs="Times New Roman"/>
          <w:sz w:val="28"/>
          <w:szCs w:val="28"/>
          <w:lang w:bidi="ar-IQ"/>
        </w:rPr>
        <w:t xml:space="preserve"> diagnosis of HCV infection</w:t>
      </w:r>
      <w:r w:rsidR="00AD402C" w:rsidRPr="008132E8">
        <w:rPr>
          <w:rFonts w:ascii="Times New Roman" w:hAnsi="Times New Roman" w:cs="Times New Roman"/>
          <w:sz w:val="28"/>
          <w:szCs w:val="28"/>
          <w:lang w:bidi="ar-IQ"/>
        </w:rPr>
        <w:t xml:space="preserve"> and perpetuate the infectiousness of patients for longer period</w:t>
      </w:r>
      <w:r w:rsidR="00A303E1" w:rsidRPr="008132E8">
        <w:rPr>
          <w:rFonts w:ascii="Times New Roman" w:hAnsi="Times New Roman" w:cs="Times New Roman"/>
          <w:sz w:val="28"/>
          <w:szCs w:val="28"/>
          <w:lang w:bidi="ar-IQ"/>
        </w:rPr>
        <w:t xml:space="preserve"> </w:t>
      </w:r>
      <w:r w:rsidR="00A303E1" w:rsidRPr="008132E8">
        <w:rPr>
          <w:rFonts w:ascii="Times New Roman" w:hAnsi="Times New Roman" w:cs="Times New Roman"/>
          <w:b/>
          <w:bCs/>
          <w:sz w:val="28"/>
          <w:szCs w:val="28"/>
          <w:vertAlign w:val="superscript"/>
          <w:lang w:bidi="ar-IQ"/>
        </w:rPr>
        <w:t>[2</w:t>
      </w:r>
      <w:r w:rsidR="008132E8">
        <w:rPr>
          <w:rFonts w:ascii="Times New Roman" w:hAnsi="Times New Roman" w:cs="Times New Roman"/>
          <w:b/>
          <w:bCs/>
          <w:sz w:val="28"/>
          <w:szCs w:val="28"/>
          <w:vertAlign w:val="superscript"/>
          <w:lang w:bidi="ar-IQ"/>
        </w:rPr>
        <w:t>3</w:t>
      </w:r>
      <w:r w:rsidR="00A303E1" w:rsidRPr="008132E8">
        <w:rPr>
          <w:rFonts w:ascii="Times New Roman" w:hAnsi="Times New Roman" w:cs="Times New Roman"/>
          <w:b/>
          <w:bCs/>
          <w:sz w:val="28"/>
          <w:szCs w:val="28"/>
          <w:vertAlign w:val="superscript"/>
          <w:lang w:bidi="ar-IQ"/>
        </w:rPr>
        <w:t>,2</w:t>
      </w:r>
      <w:r w:rsidR="008132E8">
        <w:rPr>
          <w:rFonts w:ascii="Times New Roman" w:hAnsi="Times New Roman" w:cs="Times New Roman"/>
          <w:b/>
          <w:bCs/>
          <w:sz w:val="28"/>
          <w:szCs w:val="28"/>
          <w:vertAlign w:val="superscript"/>
          <w:lang w:bidi="ar-IQ"/>
        </w:rPr>
        <w:t>4</w:t>
      </w:r>
      <w:r w:rsidR="00A303E1" w:rsidRPr="008132E8">
        <w:rPr>
          <w:rFonts w:ascii="Times New Roman" w:hAnsi="Times New Roman" w:cs="Times New Roman"/>
          <w:b/>
          <w:bCs/>
          <w:sz w:val="28"/>
          <w:szCs w:val="28"/>
          <w:vertAlign w:val="superscript"/>
          <w:lang w:bidi="ar-IQ"/>
        </w:rPr>
        <w:t>]</w:t>
      </w:r>
      <w:r w:rsidR="00A303E1" w:rsidRPr="008132E8">
        <w:rPr>
          <w:rFonts w:ascii="Times New Roman" w:hAnsi="Times New Roman" w:cs="Times New Roman"/>
          <w:sz w:val="28"/>
          <w:szCs w:val="28"/>
          <w:lang w:bidi="ar-IQ"/>
        </w:rPr>
        <w:t>.</w:t>
      </w:r>
      <w:r w:rsidR="00AD402C" w:rsidRPr="008132E8">
        <w:rPr>
          <w:rFonts w:ascii="Times New Roman" w:hAnsi="Times New Roman" w:cs="Times New Roman"/>
          <w:sz w:val="28"/>
          <w:szCs w:val="28"/>
          <w:lang w:bidi="ar-IQ"/>
        </w:rPr>
        <w:t xml:space="preserve"> </w:t>
      </w:r>
      <w:r w:rsidR="00291C06" w:rsidRPr="008132E8">
        <w:rPr>
          <w:rFonts w:ascii="Times New Roman" w:hAnsi="Times New Roman" w:cs="Times New Roman"/>
          <w:sz w:val="28"/>
          <w:szCs w:val="28"/>
          <w:lang w:bidi="ar-IQ"/>
        </w:rPr>
        <w:t xml:space="preserve">Together these facts may explain the increased prevalence of HCV infection in the present study compared to previous one </w:t>
      </w:r>
      <w:r w:rsidR="00291C06" w:rsidRPr="008132E8">
        <w:rPr>
          <w:rFonts w:ascii="Times New Roman" w:hAnsi="Times New Roman" w:cs="Times New Roman"/>
          <w:b/>
          <w:bCs/>
          <w:sz w:val="28"/>
          <w:szCs w:val="28"/>
          <w:vertAlign w:val="superscript"/>
          <w:lang w:bidi="ar-IQ"/>
        </w:rPr>
        <w:t>[15]</w:t>
      </w:r>
      <w:r w:rsidR="004D4C53" w:rsidRPr="008132E8">
        <w:rPr>
          <w:rFonts w:ascii="Times New Roman" w:hAnsi="Times New Roman" w:cs="Times New Roman"/>
          <w:sz w:val="28"/>
          <w:szCs w:val="28"/>
          <w:lang w:bidi="ar-IQ"/>
        </w:rPr>
        <w:t xml:space="preserve">. Therefore, to minimize the risk of transmission of HCV infection through blood transfusion, several countries have </w:t>
      </w:r>
      <w:r w:rsidR="002B2D85" w:rsidRPr="008132E8">
        <w:rPr>
          <w:rFonts w:ascii="Times New Roman" w:hAnsi="Times New Roman" w:cs="Times New Roman"/>
          <w:sz w:val="28"/>
          <w:szCs w:val="28"/>
          <w:lang w:bidi="ar-IQ"/>
        </w:rPr>
        <w:t>introduced</w:t>
      </w:r>
      <w:r w:rsidR="004D4C53" w:rsidRPr="008132E8">
        <w:rPr>
          <w:rFonts w:ascii="Times New Roman" w:hAnsi="Times New Roman" w:cs="Times New Roman"/>
          <w:sz w:val="28"/>
          <w:szCs w:val="28"/>
          <w:lang w:bidi="ar-IQ"/>
        </w:rPr>
        <w:t xml:space="preserve"> the nucleic acid technique</w:t>
      </w:r>
      <w:r w:rsidR="00F90C8F" w:rsidRPr="008132E8">
        <w:rPr>
          <w:rFonts w:ascii="Times New Roman" w:hAnsi="Times New Roman" w:cs="Times New Roman"/>
          <w:sz w:val="28"/>
          <w:szCs w:val="28"/>
          <w:lang w:bidi="ar-IQ"/>
        </w:rPr>
        <w:t xml:space="preserve"> (NAT)</w:t>
      </w:r>
      <w:r w:rsidR="004D4C53" w:rsidRPr="008132E8">
        <w:rPr>
          <w:rFonts w:ascii="Times New Roman" w:hAnsi="Times New Roman" w:cs="Times New Roman"/>
          <w:sz w:val="28"/>
          <w:szCs w:val="28"/>
          <w:lang w:bidi="ar-IQ"/>
        </w:rPr>
        <w:t xml:space="preserve"> as a routine screening of blood donors </w:t>
      </w:r>
      <w:r w:rsidR="002B2D85" w:rsidRPr="008132E8">
        <w:rPr>
          <w:rFonts w:ascii="Times New Roman" w:hAnsi="Times New Roman" w:cs="Times New Roman"/>
          <w:b/>
          <w:bCs/>
          <w:sz w:val="28"/>
          <w:szCs w:val="28"/>
          <w:vertAlign w:val="superscript"/>
          <w:lang w:bidi="ar-IQ"/>
        </w:rPr>
        <w:t>[2</w:t>
      </w:r>
      <w:r w:rsidR="008132E8">
        <w:rPr>
          <w:rFonts w:ascii="Times New Roman" w:hAnsi="Times New Roman" w:cs="Times New Roman"/>
          <w:b/>
          <w:bCs/>
          <w:sz w:val="28"/>
          <w:szCs w:val="28"/>
          <w:vertAlign w:val="superscript"/>
          <w:lang w:bidi="ar-IQ"/>
        </w:rPr>
        <w:t>5</w:t>
      </w:r>
      <w:r w:rsidR="002B2D85" w:rsidRPr="008132E8">
        <w:rPr>
          <w:rFonts w:ascii="Times New Roman" w:hAnsi="Times New Roman" w:cs="Times New Roman"/>
          <w:b/>
          <w:bCs/>
          <w:sz w:val="28"/>
          <w:szCs w:val="28"/>
          <w:vertAlign w:val="superscript"/>
          <w:lang w:bidi="ar-IQ"/>
        </w:rPr>
        <w:t>]</w:t>
      </w:r>
      <w:r w:rsidR="002B2D85" w:rsidRPr="008132E8">
        <w:rPr>
          <w:rFonts w:ascii="Times New Roman" w:hAnsi="Times New Roman" w:cs="Times New Roman"/>
          <w:sz w:val="28"/>
          <w:szCs w:val="28"/>
          <w:lang w:bidi="ar-IQ"/>
        </w:rPr>
        <w:t>.</w:t>
      </w:r>
      <w:r w:rsidR="004D4C53" w:rsidRPr="008132E8">
        <w:rPr>
          <w:rFonts w:ascii="Times New Roman" w:hAnsi="Times New Roman" w:cs="Times New Roman"/>
          <w:sz w:val="28"/>
          <w:szCs w:val="28"/>
          <w:lang w:bidi="ar-IQ"/>
        </w:rPr>
        <w:t xml:space="preserve"> </w:t>
      </w:r>
      <w:r w:rsidR="00F90C8F" w:rsidRPr="008132E8">
        <w:rPr>
          <w:rFonts w:ascii="Times New Roman" w:hAnsi="Times New Roman" w:cs="Times New Roman"/>
          <w:sz w:val="28"/>
          <w:szCs w:val="28"/>
          <w:lang w:bidi="ar-IQ"/>
        </w:rPr>
        <w:t xml:space="preserve">The high sensitivity and specificity of NAT has minimized the risk of infection per blood unit to 1:1600000, and reduced the window period of HCV which was approximately </w:t>
      </w:r>
      <w:r w:rsidR="00BB3251" w:rsidRPr="008132E8">
        <w:rPr>
          <w:rFonts w:ascii="Times New Roman" w:hAnsi="Times New Roman" w:cs="Times New Roman"/>
          <w:sz w:val="28"/>
          <w:szCs w:val="28"/>
          <w:lang w:bidi="ar-IQ"/>
        </w:rPr>
        <w:t xml:space="preserve">70 days by ELISA to 8-10 days </w:t>
      </w:r>
      <w:r w:rsidR="00BB3251" w:rsidRPr="008132E8">
        <w:rPr>
          <w:rFonts w:ascii="Times New Roman" w:hAnsi="Times New Roman" w:cs="Times New Roman"/>
          <w:b/>
          <w:bCs/>
          <w:sz w:val="28"/>
          <w:szCs w:val="28"/>
          <w:vertAlign w:val="superscript"/>
          <w:lang w:bidi="ar-IQ"/>
        </w:rPr>
        <w:t>[2</w:t>
      </w:r>
      <w:r w:rsidR="008132E8">
        <w:rPr>
          <w:rFonts w:ascii="Times New Roman" w:hAnsi="Times New Roman" w:cs="Times New Roman"/>
          <w:b/>
          <w:bCs/>
          <w:sz w:val="28"/>
          <w:szCs w:val="28"/>
          <w:vertAlign w:val="superscript"/>
          <w:lang w:bidi="ar-IQ"/>
        </w:rPr>
        <w:t>6</w:t>
      </w:r>
      <w:r w:rsidR="00BB3251" w:rsidRPr="008132E8">
        <w:rPr>
          <w:rFonts w:ascii="Times New Roman" w:hAnsi="Times New Roman" w:cs="Times New Roman"/>
          <w:b/>
          <w:bCs/>
          <w:sz w:val="28"/>
          <w:szCs w:val="28"/>
          <w:vertAlign w:val="superscript"/>
          <w:lang w:bidi="ar-IQ"/>
        </w:rPr>
        <w:t>]</w:t>
      </w:r>
      <w:r w:rsidR="00BB3251" w:rsidRPr="008132E8">
        <w:rPr>
          <w:rFonts w:ascii="Times New Roman" w:hAnsi="Times New Roman" w:cs="Times New Roman"/>
          <w:sz w:val="28"/>
          <w:szCs w:val="28"/>
          <w:lang w:bidi="ar-IQ"/>
        </w:rPr>
        <w:t>.</w:t>
      </w:r>
    </w:p>
    <w:p w:rsidR="008230A8" w:rsidRPr="008132E8" w:rsidRDefault="008230A8" w:rsidP="008132E8">
      <w:pPr>
        <w:bidi w:val="0"/>
        <w:spacing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ab/>
        <w:t xml:space="preserve">The present results found that HBV and HCV infection were significantly higher among the age groups (20-29) and </w:t>
      </w:r>
      <w:r w:rsidR="00B170AD" w:rsidRPr="008132E8">
        <w:rPr>
          <w:rFonts w:ascii="Times New Roman" w:hAnsi="Times New Roman" w:cs="Times New Roman"/>
          <w:sz w:val="28"/>
          <w:szCs w:val="28"/>
          <w:lang w:bidi="ar-IQ"/>
        </w:rPr>
        <w:t xml:space="preserve">(30-39) respectively. </w:t>
      </w:r>
      <w:r w:rsidR="00546F71" w:rsidRPr="008132E8">
        <w:rPr>
          <w:rFonts w:ascii="Times New Roman" w:hAnsi="Times New Roman" w:cs="Times New Roman"/>
          <w:sz w:val="28"/>
          <w:szCs w:val="28"/>
          <w:lang w:bidi="ar-IQ"/>
        </w:rPr>
        <w:t xml:space="preserve">These results were consistent with our studies conducted before 2003 </w:t>
      </w:r>
      <w:r w:rsidR="00546F71" w:rsidRPr="008132E8">
        <w:rPr>
          <w:rFonts w:ascii="Times New Roman" w:hAnsi="Times New Roman" w:cs="Times New Roman"/>
          <w:b/>
          <w:bCs/>
          <w:sz w:val="28"/>
          <w:szCs w:val="28"/>
          <w:vertAlign w:val="superscript"/>
          <w:lang w:bidi="ar-IQ"/>
        </w:rPr>
        <w:t>[13,15</w:t>
      </w:r>
      <w:r w:rsidR="002B1268" w:rsidRPr="008132E8">
        <w:rPr>
          <w:rFonts w:ascii="Times New Roman" w:hAnsi="Times New Roman" w:cs="Times New Roman"/>
          <w:b/>
          <w:bCs/>
          <w:sz w:val="28"/>
          <w:szCs w:val="28"/>
          <w:vertAlign w:val="superscript"/>
          <w:lang w:bidi="ar-IQ"/>
        </w:rPr>
        <w:t>]</w:t>
      </w:r>
      <w:r w:rsidR="00D6489E" w:rsidRPr="008132E8">
        <w:rPr>
          <w:rFonts w:ascii="Times New Roman" w:hAnsi="Times New Roman" w:cs="Times New Roman"/>
          <w:sz w:val="28"/>
          <w:szCs w:val="28"/>
          <w:lang w:bidi="ar-IQ"/>
        </w:rPr>
        <w:t>, and with those conducted elsewhere</w:t>
      </w:r>
      <w:r w:rsidR="003F5476" w:rsidRPr="008132E8">
        <w:rPr>
          <w:rFonts w:ascii="Times New Roman" w:hAnsi="Times New Roman" w:cs="Times New Roman"/>
          <w:sz w:val="28"/>
          <w:szCs w:val="28"/>
          <w:lang w:bidi="ar-IQ"/>
        </w:rPr>
        <w:t>,</w:t>
      </w:r>
      <w:r w:rsidR="00D6489E" w:rsidRPr="008132E8">
        <w:rPr>
          <w:rFonts w:ascii="Times New Roman" w:hAnsi="Times New Roman" w:cs="Times New Roman"/>
          <w:sz w:val="28"/>
          <w:szCs w:val="28"/>
          <w:lang w:bidi="ar-IQ"/>
        </w:rPr>
        <w:t xml:space="preserve"> </w:t>
      </w:r>
      <w:r w:rsidR="003F5476" w:rsidRPr="008132E8">
        <w:rPr>
          <w:rFonts w:ascii="Times New Roman" w:hAnsi="Times New Roman" w:cs="Times New Roman"/>
          <w:sz w:val="28"/>
          <w:szCs w:val="28"/>
          <w:lang w:bidi="ar-IQ"/>
        </w:rPr>
        <w:t>p</w:t>
      </w:r>
      <w:r w:rsidR="00432238" w:rsidRPr="008132E8">
        <w:rPr>
          <w:rFonts w:ascii="Times New Roman" w:hAnsi="Times New Roman" w:cs="Times New Roman"/>
          <w:sz w:val="28"/>
          <w:szCs w:val="28"/>
          <w:lang w:bidi="ar-IQ"/>
        </w:rPr>
        <w:t xml:space="preserve">robably because </w:t>
      </w:r>
      <w:r w:rsidR="003F5476" w:rsidRPr="008132E8">
        <w:rPr>
          <w:rFonts w:ascii="Times New Roman" w:hAnsi="Times New Roman" w:cs="Times New Roman"/>
          <w:sz w:val="28"/>
          <w:szCs w:val="28"/>
          <w:lang w:bidi="ar-IQ"/>
        </w:rPr>
        <w:t>these age groups have</w:t>
      </w:r>
      <w:r w:rsidR="00432238" w:rsidRPr="008132E8">
        <w:rPr>
          <w:rFonts w:ascii="Times New Roman" w:hAnsi="Times New Roman" w:cs="Times New Roman"/>
          <w:sz w:val="28"/>
          <w:szCs w:val="28"/>
          <w:lang w:bidi="ar-IQ"/>
        </w:rPr>
        <w:t xml:space="preserve"> higher chance for exposure to HBV  and HCV infections</w:t>
      </w:r>
      <w:r w:rsidR="00432238" w:rsidRPr="008132E8">
        <w:rPr>
          <w:rFonts w:ascii="Times New Roman" w:hAnsi="Times New Roman" w:cs="Times New Roman"/>
          <w:b/>
          <w:bCs/>
          <w:sz w:val="28"/>
          <w:szCs w:val="28"/>
          <w:vertAlign w:val="superscript"/>
          <w:lang w:bidi="ar-IQ"/>
        </w:rPr>
        <w:t>[2</w:t>
      </w:r>
      <w:r w:rsidR="008132E8">
        <w:rPr>
          <w:rFonts w:ascii="Times New Roman" w:hAnsi="Times New Roman" w:cs="Times New Roman"/>
          <w:b/>
          <w:bCs/>
          <w:sz w:val="28"/>
          <w:szCs w:val="28"/>
          <w:vertAlign w:val="superscript"/>
          <w:lang w:bidi="ar-IQ"/>
        </w:rPr>
        <w:t>7</w:t>
      </w:r>
      <w:r w:rsidR="00432238" w:rsidRPr="008132E8">
        <w:rPr>
          <w:rFonts w:ascii="Times New Roman" w:hAnsi="Times New Roman" w:cs="Times New Roman"/>
          <w:b/>
          <w:bCs/>
          <w:sz w:val="28"/>
          <w:szCs w:val="28"/>
          <w:vertAlign w:val="superscript"/>
          <w:lang w:bidi="ar-IQ"/>
        </w:rPr>
        <w:t>,2</w:t>
      </w:r>
      <w:r w:rsidR="008132E8">
        <w:rPr>
          <w:rFonts w:ascii="Times New Roman" w:hAnsi="Times New Roman" w:cs="Times New Roman"/>
          <w:b/>
          <w:bCs/>
          <w:sz w:val="28"/>
          <w:szCs w:val="28"/>
          <w:vertAlign w:val="superscript"/>
          <w:lang w:bidi="ar-IQ"/>
        </w:rPr>
        <w:t>8</w:t>
      </w:r>
      <w:r w:rsidR="00432238" w:rsidRPr="008132E8">
        <w:rPr>
          <w:rFonts w:ascii="Times New Roman" w:hAnsi="Times New Roman" w:cs="Times New Roman"/>
          <w:b/>
          <w:bCs/>
          <w:sz w:val="28"/>
          <w:szCs w:val="28"/>
          <w:vertAlign w:val="superscript"/>
          <w:lang w:bidi="ar-IQ"/>
        </w:rPr>
        <w:t>]</w:t>
      </w:r>
      <w:r w:rsidR="00432238" w:rsidRPr="008132E8">
        <w:rPr>
          <w:rFonts w:ascii="Times New Roman" w:hAnsi="Times New Roman" w:cs="Times New Roman"/>
          <w:sz w:val="28"/>
          <w:szCs w:val="28"/>
          <w:lang w:bidi="ar-IQ"/>
        </w:rPr>
        <w:t>.</w:t>
      </w:r>
      <w:r w:rsidR="004D215D" w:rsidRPr="008132E8">
        <w:rPr>
          <w:rFonts w:ascii="Times New Roman" w:hAnsi="Times New Roman" w:cs="Times New Roman"/>
          <w:sz w:val="28"/>
          <w:szCs w:val="28"/>
          <w:lang w:bidi="ar-IQ"/>
        </w:rPr>
        <w:t xml:space="preserve">On the other hand, the significantly higher HBV and HCV positivity rates among males compared to females was concordant in present study and previous ones and with the results of other workers </w:t>
      </w:r>
      <w:r w:rsidR="004D215D" w:rsidRPr="008132E8">
        <w:rPr>
          <w:rFonts w:ascii="Times New Roman" w:hAnsi="Times New Roman" w:cs="Times New Roman"/>
          <w:b/>
          <w:bCs/>
          <w:sz w:val="28"/>
          <w:szCs w:val="28"/>
          <w:vertAlign w:val="superscript"/>
          <w:lang w:bidi="ar-IQ"/>
        </w:rPr>
        <w:t>[13,15,2</w:t>
      </w:r>
      <w:r w:rsidR="008132E8">
        <w:rPr>
          <w:rFonts w:ascii="Times New Roman" w:hAnsi="Times New Roman" w:cs="Times New Roman"/>
          <w:b/>
          <w:bCs/>
          <w:sz w:val="28"/>
          <w:szCs w:val="28"/>
          <w:vertAlign w:val="superscript"/>
          <w:lang w:bidi="ar-IQ"/>
        </w:rPr>
        <w:t>9</w:t>
      </w:r>
      <w:r w:rsidR="004D215D" w:rsidRPr="008132E8">
        <w:rPr>
          <w:rFonts w:ascii="Times New Roman" w:hAnsi="Times New Roman" w:cs="Times New Roman"/>
          <w:b/>
          <w:bCs/>
          <w:sz w:val="28"/>
          <w:szCs w:val="28"/>
          <w:vertAlign w:val="superscript"/>
          <w:lang w:bidi="ar-IQ"/>
        </w:rPr>
        <w:t>,</w:t>
      </w:r>
      <w:r w:rsidR="008132E8">
        <w:rPr>
          <w:rFonts w:ascii="Times New Roman" w:hAnsi="Times New Roman" w:cs="Times New Roman"/>
          <w:b/>
          <w:bCs/>
          <w:sz w:val="28"/>
          <w:szCs w:val="28"/>
          <w:vertAlign w:val="superscript"/>
          <w:lang w:bidi="ar-IQ"/>
        </w:rPr>
        <w:t>30</w:t>
      </w:r>
      <w:r w:rsidR="004D215D" w:rsidRPr="008132E8">
        <w:rPr>
          <w:rFonts w:ascii="Times New Roman" w:hAnsi="Times New Roman" w:cs="Times New Roman"/>
          <w:b/>
          <w:bCs/>
          <w:sz w:val="28"/>
          <w:szCs w:val="28"/>
          <w:vertAlign w:val="superscript"/>
          <w:lang w:bidi="ar-IQ"/>
        </w:rPr>
        <w:t>]</w:t>
      </w:r>
      <w:r w:rsidR="004D215D" w:rsidRPr="008132E8">
        <w:rPr>
          <w:rFonts w:ascii="Times New Roman" w:hAnsi="Times New Roman" w:cs="Times New Roman"/>
          <w:sz w:val="28"/>
          <w:szCs w:val="28"/>
          <w:lang w:bidi="ar-IQ"/>
        </w:rPr>
        <w:t>.</w:t>
      </w:r>
      <w:r w:rsidR="00DD5C25" w:rsidRPr="008132E8">
        <w:rPr>
          <w:rFonts w:ascii="Times New Roman" w:hAnsi="Times New Roman" w:cs="Times New Roman"/>
          <w:sz w:val="28"/>
          <w:szCs w:val="28"/>
          <w:lang w:bidi="ar-IQ"/>
        </w:rPr>
        <w:t xml:space="preserve"> Of note, the bulk of individuals included in the present study are blood donors, and as </w:t>
      </w:r>
      <w:r w:rsidR="00B863A0" w:rsidRPr="008132E8">
        <w:rPr>
          <w:rFonts w:ascii="Times New Roman" w:hAnsi="Times New Roman" w:cs="Times New Roman"/>
          <w:sz w:val="28"/>
          <w:szCs w:val="28"/>
          <w:lang w:bidi="ar-IQ"/>
        </w:rPr>
        <w:t>traditions</w:t>
      </w:r>
      <w:r w:rsidR="00DD5C25" w:rsidRPr="008132E8">
        <w:rPr>
          <w:rFonts w:ascii="Times New Roman" w:hAnsi="Times New Roman" w:cs="Times New Roman"/>
          <w:sz w:val="28"/>
          <w:szCs w:val="28"/>
          <w:lang w:bidi="ar-IQ"/>
        </w:rPr>
        <w:t xml:space="preserve"> in our community, most of the blood donors attending the blood banks are males</w:t>
      </w:r>
      <w:r w:rsidR="004E6CA7" w:rsidRPr="008132E8">
        <w:rPr>
          <w:rFonts w:ascii="Times New Roman" w:hAnsi="Times New Roman" w:cs="Times New Roman"/>
          <w:sz w:val="28"/>
          <w:szCs w:val="28"/>
          <w:lang w:bidi="ar-IQ"/>
        </w:rPr>
        <w:t xml:space="preserve"> </w:t>
      </w:r>
      <w:r w:rsidR="00223D3E" w:rsidRPr="008132E8">
        <w:rPr>
          <w:rFonts w:ascii="Times New Roman" w:hAnsi="Times New Roman" w:cs="Times New Roman"/>
          <w:b/>
          <w:bCs/>
          <w:sz w:val="28"/>
          <w:szCs w:val="28"/>
          <w:vertAlign w:val="superscript"/>
          <w:lang w:bidi="ar-IQ"/>
        </w:rPr>
        <w:t>[3</w:t>
      </w:r>
      <w:r w:rsidR="008132E8">
        <w:rPr>
          <w:rFonts w:ascii="Times New Roman" w:hAnsi="Times New Roman" w:cs="Times New Roman"/>
          <w:b/>
          <w:bCs/>
          <w:sz w:val="28"/>
          <w:szCs w:val="28"/>
          <w:vertAlign w:val="superscript"/>
          <w:lang w:bidi="ar-IQ"/>
        </w:rPr>
        <w:t>1</w:t>
      </w:r>
      <w:r w:rsidR="00223D3E" w:rsidRPr="008132E8">
        <w:rPr>
          <w:rFonts w:ascii="Times New Roman" w:hAnsi="Times New Roman" w:cs="Times New Roman"/>
          <w:b/>
          <w:bCs/>
          <w:sz w:val="28"/>
          <w:szCs w:val="28"/>
          <w:vertAlign w:val="superscript"/>
          <w:lang w:bidi="ar-IQ"/>
        </w:rPr>
        <w:t>,3</w:t>
      </w:r>
      <w:r w:rsidR="008132E8">
        <w:rPr>
          <w:rFonts w:ascii="Times New Roman" w:hAnsi="Times New Roman" w:cs="Times New Roman"/>
          <w:b/>
          <w:bCs/>
          <w:sz w:val="28"/>
          <w:szCs w:val="28"/>
          <w:vertAlign w:val="superscript"/>
          <w:lang w:bidi="ar-IQ"/>
        </w:rPr>
        <w:t>2</w:t>
      </w:r>
      <w:r w:rsidR="00223D3E" w:rsidRPr="008132E8">
        <w:rPr>
          <w:rFonts w:ascii="Times New Roman" w:hAnsi="Times New Roman" w:cs="Times New Roman"/>
          <w:b/>
          <w:bCs/>
          <w:sz w:val="28"/>
          <w:szCs w:val="28"/>
          <w:vertAlign w:val="superscript"/>
          <w:lang w:bidi="ar-IQ"/>
        </w:rPr>
        <w:t>]</w:t>
      </w:r>
      <w:r w:rsidR="00DD5C25" w:rsidRPr="008132E8">
        <w:rPr>
          <w:rFonts w:ascii="Times New Roman" w:hAnsi="Times New Roman" w:cs="Times New Roman"/>
          <w:sz w:val="28"/>
          <w:szCs w:val="28"/>
          <w:lang w:bidi="ar-IQ"/>
        </w:rPr>
        <w:t>.</w:t>
      </w:r>
    </w:p>
    <w:p w:rsidR="00733AC7" w:rsidRPr="008132E8" w:rsidRDefault="00733AC7" w:rsidP="00B83850">
      <w:pPr>
        <w:bidi w:val="0"/>
        <w:spacing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ab/>
        <w:t>The present study</w:t>
      </w:r>
      <w:r w:rsidR="00B74A18" w:rsidRPr="008132E8">
        <w:rPr>
          <w:rFonts w:ascii="Times New Roman" w:hAnsi="Times New Roman" w:cs="Times New Roman"/>
          <w:sz w:val="28"/>
          <w:szCs w:val="28"/>
          <w:lang w:bidi="ar-IQ"/>
        </w:rPr>
        <w:t xml:space="preserve"> found that the HBV and HCV positivity rates were peaked during April month. This result is inconsistent with the most previous reports affirming no seasonality in the transmission of these viruses</w:t>
      </w:r>
      <w:r w:rsidR="009D3DD7" w:rsidRPr="008132E8">
        <w:rPr>
          <w:rFonts w:ascii="Times New Roman" w:hAnsi="Times New Roman" w:cs="Times New Roman"/>
          <w:sz w:val="28"/>
          <w:szCs w:val="28"/>
          <w:lang w:bidi="ar-IQ"/>
        </w:rPr>
        <w:t xml:space="preserve"> </w:t>
      </w:r>
      <w:r w:rsidR="009D3DD7" w:rsidRPr="008132E8">
        <w:rPr>
          <w:rFonts w:ascii="Times New Roman" w:hAnsi="Times New Roman" w:cs="Times New Roman"/>
          <w:b/>
          <w:bCs/>
          <w:sz w:val="28"/>
          <w:szCs w:val="28"/>
          <w:vertAlign w:val="superscript"/>
          <w:lang w:bidi="ar-IQ"/>
        </w:rPr>
        <w:t>[7,20]</w:t>
      </w:r>
      <w:r w:rsidR="009D3DD7" w:rsidRPr="008132E8">
        <w:rPr>
          <w:rFonts w:ascii="Times New Roman" w:hAnsi="Times New Roman" w:cs="Times New Roman"/>
          <w:sz w:val="28"/>
          <w:szCs w:val="28"/>
          <w:lang w:bidi="ar-IQ"/>
        </w:rPr>
        <w:t>.</w:t>
      </w:r>
      <w:r w:rsidRPr="008132E8">
        <w:rPr>
          <w:rFonts w:ascii="Times New Roman" w:hAnsi="Times New Roman" w:cs="Times New Roman"/>
          <w:sz w:val="28"/>
          <w:szCs w:val="28"/>
          <w:lang w:bidi="ar-IQ"/>
        </w:rPr>
        <w:t xml:space="preserve"> </w:t>
      </w:r>
      <w:r w:rsidR="00223D3E" w:rsidRPr="008132E8">
        <w:rPr>
          <w:rFonts w:ascii="Times New Roman" w:hAnsi="Times New Roman" w:cs="Times New Roman"/>
          <w:sz w:val="28"/>
          <w:szCs w:val="28"/>
          <w:lang w:bidi="ar-IQ"/>
        </w:rPr>
        <w:t>However, further studies to clarify this puzzling result are recommended.</w:t>
      </w:r>
    </w:p>
    <w:p w:rsidR="007270AE" w:rsidRPr="008132E8" w:rsidRDefault="00B863A0" w:rsidP="004E6CA7">
      <w:pPr>
        <w:bidi w:val="0"/>
        <w:spacing w:line="240" w:lineRule="auto"/>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ab/>
        <w:t>Regarding the distribution of HBV and HCV positive cases according to the residence</w:t>
      </w:r>
      <w:r w:rsidR="0087787E" w:rsidRPr="008132E8">
        <w:rPr>
          <w:rFonts w:ascii="Times New Roman" w:hAnsi="Times New Roman" w:cs="Times New Roman"/>
          <w:sz w:val="28"/>
          <w:szCs w:val="28"/>
          <w:lang w:bidi="ar-IQ"/>
        </w:rPr>
        <w:t>, although there was insignificant difference in the present study, Baquba district was found to harbor the highest number of cases, and this is inconsistent with our previous studies</w:t>
      </w:r>
      <w:r w:rsidR="00734669" w:rsidRPr="008132E8">
        <w:rPr>
          <w:rFonts w:ascii="Times New Roman" w:hAnsi="Times New Roman" w:cs="Times New Roman"/>
          <w:sz w:val="28"/>
          <w:szCs w:val="28"/>
          <w:lang w:bidi="ar-IQ"/>
        </w:rPr>
        <w:t xml:space="preserve">, in which Al-Mukdadia district </w:t>
      </w:r>
      <w:r w:rsidR="005E4A93" w:rsidRPr="008132E8">
        <w:rPr>
          <w:rFonts w:ascii="Times New Roman" w:hAnsi="Times New Roman" w:cs="Times New Roman"/>
          <w:sz w:val="28"/>
          <w:szCs w:val="28"/>
          <w:lang w:bidi="ar-IQ"/>
        </w:rPr>
        <w:t xml:space="preserve"> has the highest number </w:t>
      </w:r>
      <w:r w:rsidR="0087787E" w:rsidRPr="008132E8">
        <w:rPr>
          <w:rFonts w:ascii="Times New Roman" w:hAnsi="Times New Roman" w:cs="Times New Roman"/>
          <w:b/>
          <w:bCs/>
          <w:sz w:val="28"/>
          <w:szCs w:val="28"/>
          <w:vertAlign w:val="superscript"/>
          <w:lang w:bidi="ar-IQ"/>
        </w:rPr>
        <w:t>[13,15]</w:t>
      </w:r>
      <w:r w:rsidR="0087787E" w:rsidRPr="008132E8">
        <w:rPr>
          <w:rFonts w:ascii="Times New Roman" w:hAnsi="Times New Roman" w:cs="Times New Roman"/>
          <w:sz w:val="28"/>
          <w:szCs w:val="28"/>
          <w:lang w:bidi="ar-IQ"/>
        </w:rPr>
        <w:t>.</w:t>
      </w:r>
      <w:r w:rsidR="005E4A93" w:rsidRPr="008132E8">
        <w:rPr>
          <w:rFonts w:ascii="Times New Roman" w:hAnsi="Times New Roman" w:cs="Times New Roman"/>
          <w:sz w:val="28"/>
          <w:szCs w:val="28"/>
          <w:lang w:bidi="ar-IQ"/>
        </w:rPr>
        <w:t xml:space="preserve"> The reasonable explanation is that Al-Mukdadia</w:t>
      </w:r>
      <w:r w:rsidR="004E6CA7" w:rsidRPr="008132E8">
        <w:rPr>
          <w:rFonts w:ascii="Times New Roman" w:hAnsi="Times New Roman" w:cs="Times New Roman"/>
          <w:sz w:val="28"/>
          <w:szCs w:val="28"/>
          <w:lang w:bidi="ar-IQ"/>
        </w:rPr>
        <w:t>and other districts are at leat</w:t>
      </w:r>
      <w:r w:rsidR="005E4A93" w:rsidRPr="008132E8">
        <w:rPr>
          <w:rFonts w:ascii="Times New Roman" w:hAnsi="Times New Roman" w:cs="Times New Roman"/>
          <w:sz w:val="28"/>
          <w:szCs w:val="28"/>
          <w:lang w:bidi="ar-IQ"/>
        </w:rPr>
        <w:t xml:space="preserve"> 30 kilometers</w:t>
      </w:r>
      <w:r w:rsidR="004E6CA7" w:rsidRPr="008132E8">
        <w:rPr>
          <w:rFonts w:ascii="Times New Roman" w:hAnsi="Times New Roman" w:cs="Times New Roman"/>
          <w:sz w:val="28"/>
          <w:szCs w:val="28"/>
          <w:lang w:bidi="ar-IQ"/>
        </w:rPr>
        <w:t xml:space="preserve"> away </w:t>
      </w:r>
      <w:r w:rsidR="005E4A93" w:rsidRPr="008132E8">
        <w:rPr>
          <w:rFonts w:ascii="Times New Roman" w:hAnsi="Times New Roman" w:cs="Times New Roman"/>
          <w:sz w:val="28"/>
          <w:szCs w:val="28"/>
          <w:lang w:bidi="ar-IQ"/>
        </w:rPr>
        <w:t xml:space="preserve"> from the center of the Diyala province, so the patients </w:t>
      </w:r>
      <w:r w:rsidR="00273BFF" w:rsidRPr="008132E8">
        <w:rPr>
          <w:rFonts w:ascii="Times New Roman" w:hAnsi="Times New Roman" w:cs="Times New Roman"/>
          <w:sz w:val="28"/>
          <w:szCs w:val="28"/>
          <w:lang w:bidi="ar-IQ"/>
        </w:rPr>
        <w:t xml:space="preserve">meets difficulties to </w:t>
      </w:r>
      <w:r w:rsidR="005E4A93" w:rsidRPr="008132E8">
        <w:rPr>
          <w:rFonts w:ascii="Times New Roman" w:hAnsi="Times New Roman" w:cs="Times New Roman"/>
          <w:sz w:val="28"/>
          <w:szCs w:val="28"/>
          <w:lang w:bidi="ar-IQ"/>
        </w:rPr>
        <w:t>reach the center of</w:t>
      </w:r>
      <w:r w:rsidR="00273BFF" w:rsidRPr="008132E8">
        <w:rPr>
          <w:rFonts w:ascii="Times New Roman" w:hAnsi="Times New Roman" w:cs="Times New Roman"/>
          <w:sz w:val="28"/>
          <w:szCs w:val="28"/>
          <w:lang w:bidi="ar-IQ"/>
        </w:rPr>
        <w:t xml:space="preserve"> the province under bad security situations which was prevalent particularly during 2005 to 2007.</w:t>
      </w:r>
      <w:r w:rsidR="005E4A93" w:rsidRPr="008132E8">
        <w:rPr>
          <w:rFonts w:ascii="Times New Roman" w:hAnsi="Times New Roman" w:cs="Times New Roman"/>
          <w:sz w:val="28"/>
          <w:szCs w:val="28"/>
          <w:lang w:bidi="ar-IQ"/>
        </w:rPr>
        <w:t xml:space="preserve"> </w:t>
      </w:r>
    </w:p>
    <w:p w:rsidR="00CD39E7" w:rsidRPr="008132E8" w:rsidRDefault="008B0571" w:rsidP="00B83850">
      <w:pPr>
        <w:bidi w:val="0"/>
        <w:spacing w:line="240" w:lineRule="auto"/>
        <w:jc w:val="both"/>
        <w:rPr>
          <w:rFonts w:ascii="Times New Roman" w:hAnsi="Times New Roman" w:cs="Times New Roman"/>
          <w:b/>
          <w:bCs/>
          <w:sz w:val="28"/>
          <w:szCs w:val="28"/>
          <w:lang w:bidi="ar-IQ"/>
        </w:rPr>
      </w:pPr>
      <w:r w:rsidRPr="008132E8">
        <w:rPr>
          <w:rFonts w:ascii="Times New Roman" w:hAnsi="Times New Roman" w:cs="Times New Roman"/>
          <w:b/>
          <w:bCs/>
          <w:sz w:val="28"/>
          <w:szCs w:val="28"/>
          <w:lang w:bidi="ar-IQ"/>
        </w:rPr>
        <w:t>References:</w:t>
      </w:r>
    </w:p>
    <w:p w:rsidR="00F82B22" w:rsidRPr="008132E8" w:rsidRDefault="004201EF"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w:t>
      </w:r>
      <w:r w:rsidR="00B47E7D" w:rsidRPr="008132E8">
        <w:rPr>
          <w:rFonts w:ascii="Times New Roman" w:hAnsi="Times New Roman" w:cs="Times New Roman"/>
          <w:sz w:val="28"/>
          <w:szCs w:val="28"/>
          <w:lang w:bidi="ar-IQ"/>
        </w:rPr>
        <w:t>Degertekin, B. and Lok, A.S. Update on viral hepatitis. Curr. Opin. Gastroenterol. 2009; 25(3): 180-5.</w:t>
      </w:r>
    </w:p>
    <w:p w:rsidR="00F82B22" w:rsidRPr="008132E8" w:rsidRDefault="004201EF"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w:t>
      </w:r>
      <w:r w:rsidR="00F82B22" w:rsidRPr="008132E8">
        <w:rPr>
          <w:rFonts w:ascii="Times New Roman" w:hAnsi="Times New Roman" w:cs="Times New Roman"/>
          <w:sz w:val="28"/>
          <w:szCs w:val="28"/>
          <w:lang w:bidi="ar-IQ"/>
        </w:rPr>
        <w:t>Taylor, B.C.; Yuan, J.M.; Shamliyan,k T.A.; Shaukat, A.; Kane, R.L. and Wilt, T.J. Clinical outcomes in adults with chronic hepatitis B in association with patients and viral characteristics: A systemic review of evidence.Hepatology,2009;49(Suppl.5):s85-95.</w:t>
      </w:r>
    </w:p>
    <w:p w:rsidR="00875301" w:rsidRPr="008132E8" w:rsidRDefault="004201EF"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lastRenderedPageBreak/>
        <w:t>3.</w:t>
      </w:r>
      <w:r w:rsidR="00875301" w:rsidRPr="008132E8">
        <w:rPr>
          <w:rFonts w:ascii="Times New Roman" w:hAnsi="Times New Roman" w:cs="Times New Roman"/>
          <w:sz w:val="28"/>
          <w:szCs w:val="28"/>
          <w:lang w:bidi="ar-IQ"/>
        </w:rPr>
        <w:t>Alter, H. and Seeff, L. Recovery, persistence and sequelae in hepatitis C virus infection. A prospective on long-term outcome. Semin.Liver Dis.2000; 20:17-35.</w:t>
      </w:r>
    </w:p>
    <w:p w:rsidR="00B919FD" w:rsidRPr="008132E8" w:rsidRDefault="004201EF"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4.</w:t>
      </w:r>
      <w:r w:rsidR="00B919FD" w:rsidRPr="008132E8">
        <w:rPr>
          <w:rFonts w:ascii="Times New Roman" w:hAnsi="Times New Roman" w:cs="Times New Roman"/>
          <w:sz w:val="28"/>
          <w:szCs w:val="28"/>
          <w:lang w:bidi="ar-IQ"/>
        </w:rPr>
        <w:t>Nocente, R.; Ceccanti, M.; Bertazzoni, G.; Cammarota, G.; Silveri, N. and Gasbarrini, G. HCV infection and extrahepatic manifestations. Hepatogastroenterology, 2003;50(52): 1149-54.</w:t>
      </w:r>
    </w:p>
    <w:p w:rsidR="00E853FF" w:rsidRPr="008132E8" w:rsidRDefault="004201EF"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5.</w:t>
      </w:r>
      <w:r w:rsidR="00E853FF" w:rsidRPr="008132E8">
        <w:rPr>
          <w:rFonts w:ascii="Times New Roman" w:hAnsi="Times New Roman" w:cs="Times New Roman"/>
          <w:sz w:val="28"/>
          <w:szCs w:val="28"/>
          <w:lang w:bidi="ar-IQ"/>
        </w:rPr>
        <w:t>Manns, M.P. and Rambusch, E.G. Autoimmunity and extrahepatic manifestations in hepatitis C virus infection. J. Hepatol. 1999; 31(Suppl.1): 39-42.</w:t>
      </w:r>
    </w:p>
    <w:p w:rsidR="006C5DFD" w:rsidRPr="008132E8" w:rsidRDefault="004201EF"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6.</w:t>
      </w:r>
      <w:r w:rsidR="006C5DFD" w:rsidRPr="008132E8">
        <w:rPr>
          <w:rFonts w:ascii="Times New Roman" w:hAnsi="Times New Roman" w:cs="Times New Roman"/>
          <w:sz w:val="28"/>
          <w:szCs w:val="28"/>
          <w:lang w:bidi="ar-IQ"/>
        </w:rPr>
        <w:t xml:space="preserve"> Dement, J.M.; Epling,C.; Ostbye, T.; Pompeii, L.A.; Hunt, D.L.; </w:t>
      </w:r>
      <w:r w:rsidR="006C5DFD" w:rsidRPr="00CB3A3F">
        <w:rPr>
          <w:rFonts w:ascii="Times New Roman" w:hAnsi="Times New Roman" w:cs="Times New Roman"/>
          <w:i/>
          <w:iCs/>
          <w:sz w:val="28"/>
          <w:szCs w:val="28"/>
          <w:lang w:bidi="ar-IQ"/>
        </w:rPr>
        <w:t>et al</w:t>
      </w:r>
      <w:r w:rsidR="006C5DFD" w:rsidRPr="008132E8">
        <w:rPr>
          <w:rFonts w:ascii="Times New Roman" w:hAnsi="Times New Roman" w:cs="Times New Roman"/>
          <w:sz w:val="28"/>
          <w:szCs w:val="28"/>
          <w:lang w:bidi="ar-IQ"/>
        </w:rPr>
        <w:t>. Blood and body fluid exposure risks among health care workers. Am.J. Ind. Med. 2004; 46(6): 637-48.</w:t>
      </w:r>
    </w:p>
    <w:p w:rsidR="006C5DFD" w:rsidRPr="008132E8" w:rsidRDefault="004201EF"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7.</w:t>
      </w:r>
      <w:r w:rsidR="007009C6" w:rsidRPr="008132E8">
        <w:rPr>
          <w:rFonts w:ascii="Times New Roman" w:hAnsi="Times New Roman" w:cs="Times New Roman"/>
          <w:sz w:val="28"/>
          <w:szCs w:val="28"/>
          <w:lang w:bidi="ar-IQ"/>
        </w:rPr>
        <w:t>Dienstage, J.L. Hepatitis B virus infection. N.</w:t>
      </w:r>
      <w:r w:rsidR="00A24EE3" w:rsidRPr="008132E8">
        <w:rPr>
          <w:rFonts w:ascii="Times New Roman" w:hAnsi="Times New Roman" w:cs="Times New Roman"/>
          <w:sz w:val="28"/>
          <w:szCs w:val="28"/>
          <w:lang w:bidi="ar-IQ"/>
        </w:rPr>
        <w:t xml:space="preserve"> </w:t>
      </w:r>
      <w:r w:rsidR="007009C6" w:rsidRPr="008132E8">
        <w:rPr>
          <w:rFonts w:ascii="Times New Roman" w:hAnsi="Times New Roman" w:cs="Times New Roman"/>
          <w:sz w:val="28"/>
          <w:szCs w:val="28"/>
          <w:lang w:bidi="ar-IQ"/>
        </w:rPr>
        <w:t>Engl. J. Med. 2008; 359(14): 1486-1500.</w:t>
      </w:r>
    </w:p>
    <w:p w:rsidR="00365A20" w:rsidRPr="008132E8" w:rsidRDefault="004201EF"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8.</w:t>
      </w:r>
      <w:r w:rsidR="00365A20" w:rsidRPr="008132E8">
        <w:rPr>
          <w:rFonts w:ascii="Times New Roman" w:hAnsi="Times New Roman" w:cs="Times New Roman"/>
          <w:sz w:val="28"/>
          <w:szCs w:val="28"/>
          <w:lang w:bidi="ar-IQ"/>
        </w:rPr>
        <w:t xml:space="preserve">Magder, L.S.; Fix, A.D.; Mikhail, N.N.; Mohamed, M.K.; Abdel-Hamid,M.; </w:t>
      </w:r>
      <w:r w:rsidR="00365A20" w:rsidRPr="00CB3A3F">
        <w:rPr>
          <w:rFonts w:ascii="Times New Roman" w:hAnsi="Times New Roman" w:cs="Times New Roman"/>
          <w:i/>
          <w:iCs/>
          <w:sz w:val="28"/>
          <w:szCs w:val="28"/>
          <w:lang w:bidi="ar-IQ"/>
        </w:rPr>
        <w:t>et al</w:t>
      </w:r>
      <w:r w:rsidR="00365A20" w:rsidRPr="008132E8">
        <w:rPr>
          <w:rFonts w:ascii="Times New Roman" w:hAnsi="Times New Roman" w:cs="Times New Roman"/>
          <w:sz w:val="28"/>
          <w:szCs w:val="28"/>
          <w:lang w:bidi="ar-IQ"/>
        </w:rPr>
        <w:t>. Estimation of the risk of transmission of hepatitis C between spouses in Egypt based on seroprevalence data. Int. J. Epidemiol. 2005;34(1): 160-5.</w:t>
      </w:r>
    </w:p>
    <w:p w:rsidR="00365A20" w:rsidRPr="008132E8" w:rsidRDefault="004201EF"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9.</w:t>
      </w:r>
      <w:r w:rsidR="009E5209" w:rsidRPr="008132E8">
        <w:rPr>
          <w:rFonts w:ascii="Times New Roman" w:hAnsi="Times New Roman" w:cs="Times New Roman"/>
          <w:sz w:val="28"/>
          <w:szCs w:val="28"/>
          <w:lang w:bidi="ar-IQ"/>
        </w:rPr>
        <w:t>Alizadeh,A.H.; Ranjbar, M. and Yadollahzadeh, M. Patients concerns regarding chronic hepatitis B and C infection. East Medit.Health J. 2008; 14(5): 1142-7.</w:t>
      </w:r>
    </w:p>
    <w:p w:rsidR="00AD3F65" w:rsidRPr="008132E8" w:rsidRDefault="004201EF"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10.</w:t>
      </w:r>
      <w:r w:rsidR="00C97D21" w:rsidRPr="008132E8">
        <w:rPr>
          <w:rFonts w:ascii="Times New Roman" w:hAnsi="Times New Roman" w:cs="Times New Roman"/>
          <w:sz w:val="28"/>
          <w:szCs w:val="28"/>
          <w:lang w:bidi="ar-IQ"/>
        </w:rPr>
        <w:t xml:space="preserve"> Toukan, A.U.; Sharaiha, Z.K.; Abu-El-Rub, O.A. The epidemiology of hepatitis B virus among family members in the Middle East. Am. J. Epidemiol. 1990; 132:220-32. </w:t>
      </w:r>
    </w:p>
    <w:p w:rsidR="00875301" w:rsidRPr="008132E8" w:rsidRDefault="00AD3F65"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11.</w:t>
      </w:r>
      <w:r w:rsidR="003F5D40" w:rsidRPr="008132E8">
        <w:rPr>
          <w:rFonts w:ascii="Times New Roman" w:hAnsi="Times New Roman" w:cs="Times New Roman"/>
          <w:sz w:val="28"/>
          <w:szCs w:val="28"/>
          <w:lang w:bidi="ar-IQ"/>
        </w:rPr>
        <w:t>Mastromatteo, A.M.; Rapaccini, G.L.; Pompili, M.; Ursino, S. Romano, V.; et al. Hepatitis C virus infection: other biological fluids than blood may be responsible for intrafamilial spread. Hepatogastroenterology, 2001; 48(37): 193-6.</w:t>
      </w:r>
    </w:p>
    <w:p w:rsidR="00AD3F65" w:rsidRPr="008132E8" w:rsidRDefault="004201EF"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12.</w:t>
      </w:r>
      <w:r w:rsidR="00304BE5" w:rsidRPr="008132E8">
        <w:rPr>
          <w:rFonts w:ascii="Times New Roman" w:hAnsi="Times New Roman" w:cs="Times New Roman"/>
          <w:sz w:val="28"/>
          <w:szCs w:val="28"/>
          <w:lang w:bidi="ar-IQ"/>
        </w:rPr>
        <w:t xml:space="preserve"> Hasan, A. SH. Intrafamilial clustering of hepatitis B infection. Iraqi J. Commun. Med. 2005; 18(2): 134-9.</w:t>
      </w:r>
    </w:p>
    <w:p w:rsidR="00A7530D" w:rsidRPr="008132E8" w:rsidRDefault="00DD5C25" w:rsidP="0088122C">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13.</w:t>
      </w:r>
      <w:r w:rsidR="00A7530D" w:rsidRPr="008132E8">
        <w:rPr>
          <w:rFonts w:ascii="Times New Roman" w:hAnsi="Times New Roman" w:cs="Times New Roman"/>
          <w:sz w:val="28"/>
          <w:szCs w:val="28"/>
          <w:lang w:bidi="ar-IQ"/>
        </w:rPr>
        <w:t>Hasan, A. SH.; Omer, A.R. and Jalil, I. Seroepidemiological study of hepatitis B virus infection among blood donors and risky groups in Diyala. Iraqi J. Commun. Med. 2006; 19(1): 14-9.</w:t>
      </w:r>
    </w:p>
    <w:p w:rsidR="006F20B8" w:rsidRPr="008132E8" w:rsidRDefault="00DD5C25"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14.</w:t>
      </w:r>
      <w:r w:rsidR="006F20B8" w:rsidRPr="008132E8">
        <w:rPr>
          <w:rFonts w:ascii="Times New Roman" w:hAnsi="Times New Roman" w:cs="Times New Roman"/>
          <w:sz w:val="28"/>
          <w:szCs w:val="28"/>
          <w:lang w:bidi="ar-IQ"/>
        </w:rPr>
        <w:t xml:space="preserve"> </w:t>
      </w:r>
      <w:r w:rsidR="000F676C" w:rsidRPr="008132E8">
        <w:rPr>
          <w:rFonts w:ascii="Times New Roman" w:hAnsi="Times New Roman" w:cs="Times New Roman"/>
          <w:sz w:val="28"/>
          <w:szCs w:val="28"/>
          <w:lang w:bidi="ar-IQ"/>
        </w:rPr>
        <w:t>Hasan, A.SH. Prevalence of hepatitis B and hepatitis C virus infections among health care workers. Diyala J. 2003; 15: 154-60.</w:t>
      </w:r>
    </w:p>
    <w:p w:rsidR="00CA5EB4" w:rsidRPr="008132E8" w:rsidRDefault="00DD5C25"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15.</w:t>
      </w:r>
      <w:r w:rsidR="00CA5EB4" w:rsidRPr="008132E8">
        <w:rPr>
          <w:rFonts w:ascii="Times New Roman" w:hAnsi="Times New Roman" w:cs="Times New Roman"/>
          <w:sz w:val="28"/>
          <w:szCs w:val="28"/>
          <w:lang w:bidi="ar-IQ"/>
        </w:rPr>
        <w:t xml:space="preserve"> Hasan, A.SH. Prevalence of anti-hepatitis C virus antibodies among blood donors and risky groups in Diytala. J. Fac. Med.(Baghdad), 2008; 50(4): 467-70.</w:t>
      </w:r>
    </w:p>
    <w:p w:rsidR="005657F9" w:rsidRPr="008132E8" w:rsidRDefault="00DD5C25"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16.</w:t>
      </w:r>
      <w:r w:rsidR="005657F9" w:rsidRPr="008132E8">
        <w:rPr>
          <w:rFonts w:ascii="Times New Roman" w:hAnsi="Times New Roman" w:cs="Times New Roman"/>
          <w:sz w:val="28"/>
          <w:szCs w:val="28"/>
          <w:lang w:bidi="ar-IQ"/>
        </w:rPr>
        <w:t>Hasan, A.SH.; Al-Duliami, B.N.; Al-Duliami, A.A. and Jabbar, F.A. The prevalence of certain blood transmitted virus infections among hemophilia and thalassemia patients in Diyala. Diyala J. 2004; 18: 157-65.</w:t>
      </w:r>
    </w:p>
    <w:p w:rsidR="000A7993" w:rsidRPr="008132E8" w:rsidRDefault="00DD5C25"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17.</w:t>
      </w:r>
      <w:r w:rsidR="000A7993" w:rsidRPr="008132E8">
        <w:rPr>
          <w:rFonts w:ascii="Times New Roman" w:hAnsi="Times New Roman" w:cs="Times New Roman"/>
          <w:sz w:val="28"/>
          <w:szCs w:val="28"/>
          <w:lang w:bidi="ar-IQ"/>
        </w:rPr>
        <w:t xml:space="preserve">Keating, G. and Noble, S. </w:t>
      </w:r>
      <w:r w:rsidR="007270AE" w:rsidRPr="008132E8">
        <w:rPr>
          <w:rFonts w:ascii="Times New Roman" w:hAnsi="Times New Roman" w:cs="Times New Roman"/>
          <w:sz w:val="28"/>
          <w:szCs w:val="28"/>
          <w:lang w:bidi="ar-IQ"/>
        </w:rPr>
        <w:t>Recombinant</w:t>
      </w:r>
      <w:r w:rsidR="000A7993" w:rsidRPr="008132E8">
        <w:rPr>
          <w:rFonts w:ascii="Times New Roman" w:hAnsi="Times New Roman" w:cs="Times New Roman"/>
          <w:sz w:val="28"/>
          <w:szCs w:val="28"/>
          <w:lang w:bidi="ar-IQ"/>
        </w:rPr>
        <w:t xml:space="preserve"> hepatitis B vaccine</w:t>
      </w:r>
      <w:r w:rsidR="00443165" w:rsidRPr="008132E8">
        <w:rPr>
          <w:rFonts w:ascii="Times New Roman" w:hAnsi="Times New Roman" w:cs="Times New Roman"/>
          <w:sz w:val="28"/>
          <w:szCs w:val="28"/>
          <w:lang w:bidi="ar-IQ"/>
        </w:rPr>
        <w:t xml:space="preserve"> </w:t>
      </w:r>
      <w:r w:rsidR="000A7993" w:rsidRPr="008132E8">
        <w:rPr>
          <w:rFonts w:ascii="Times New Roman" w:hAnsi="Times New Roman" w:cs="Times New Roman"/>
          <w:sz w:val="28"/>
          <w:szCs w:val="28"/>
          <w:lang w:bidi="ar-IQ"/>
        </w:rPr>
        <w:t>(EngerixB) a review of its immunogenicity and protective efficacy against hepatitis B. Drugs, 2003;63: 1021-51.</w:t>
      </w:r>
    </w:p>
    <w:p w:rsidR="000A7993" w:rsidRPr="008132E8" w:rsidRDefault="00DD5C25"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18.</w:t>
      </w:r>
      <w:r w:rsidR="000A7993" w:rsidRPr="008132E8">
        <w:rPr>
          <w:rFonts w:ascii="Times New Roman" w:hAnsi="Times New Roman" w:cs="Times New Roman"/>
          <w:sz w:val="28"/>
          <w:szCs w:val="28"/>
          <w:lang w:bidi="ar-IQ"/>
        </w:rPr>
        <w:t xml:space="preserve">Reda, A.A.; Arafa, M.A. </w:t>
      </w:r>
      <w:r w:rsidR="00C80998" w:rsidRPr="008132E8">
        <w:rPr>
          <w:rFonts w:ascii="Times New Roman" w:hAnsi="Times New Roman" w:cs="Times New Roman"/>
          <w:sz w:val="28"/>
          <w:szCs w:val="28"/>
          <w:lang w:bidi="ar-IQ"/>
        </w:rPr>
        <w:t>;</w:t>
      </w:r>
      <w:r w:rsidR="000A7993" w:rsidRPr="008132E8">
        <w:rPr>
          <w:rFonts w:ascii="Times New Roman" w:hAnsi="Times New Roman" w:cs="Times New Roman"/>
          <w:sz w:val="28"/>
          <w:szCs w:val="28"/>
          <w:lang w:bidi="ar-IQ"/>
        </w:rPr>
        <w:t xml:space="preserve"> Youssry, A.A. </w:t>
      </w:r>
      <w:r w:rsidR="00C80998" w:rsidRPr="008132E8">
        <w:rPr>
          <w:rFonts w:ascii="Times New Roman" w:hAnsi="Times New Roman" w:cs="Times New Roman"/>
          <w:sz w:val="28"/>
          <w:szCs w:val="28"/>
          <w:lang w:bidi="ar-IQ"/>
        </w:rPr>
        <w:t>; Wandan, E.H.; Abde Ati, M. and Daebees, H. Epidemiologic evaluation of the immunity</w:t>
      </w:r>
      <w:r w:rsidR="007270AE" w:rsidRPr="008132E8">
        <w:rPr>
          <w:rFonts w:ascii="Times New Roman" w:hAnsi="Times New Roman" w:cs="Times New Roman"/>
          <w:sz w:val="28"/>
          <w:szCs w:val="28"/>
          <w:lang w:bidi="ar-IQ"/>
        </w:rPr>
        <w:t xml:space="preserve"> </w:t>
      </w:r>
      <w:r w:rsidR="00C80998" w:rsidRPr="008132E8">
        <w:rPr>
          <w:rFonts w:ascii="Times New Roman" w:hAnsi="Times New Roman" w:cs="Times New Roman"/>
          <w:sz w:val="28"/>
          <w:szCs w:val="28"/>
          <w:lang w:bidi="ar-IQ"/>
        </w:rPr>
        <w:t>against hepatitis B in Alexandria, Egypt. Eur. J. Epidemiol. 2003; 18:1007-11.</w:t>
      </w:r>
    </w:p>
    <w:p w:rsidR="00FC7BEB" w:rsidRPr="008132E8" w:rsidRDefault="00DD5C25"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lastRenderedPageBreak/>
        <w:t>19.</w:t>
      </w:r>
      <w:r w:rsidR="00FC7BEB" w:rsidRPr="008132E8">
        <w:rPr>
          <w:rFonts w:ascii="Times New Roman" w:hAnsi="Times New Roman" w:cs="Times New Roman"/>
          <w:sz w:val="28"/>
          <w:szCs w:val="28"/>
          <w:lang w:bidi="ar-IQ"/>
        </w:rPr>
        <w:t xml:space="preserve">Sallam, T.A.; Alghshm, H.M.; Ablohom, A.A.; Alarosi, M.S.; Almotawakel, R.E.; </w:t>
      </w:r>
      <w:r w:rsidR="00FC7BEB" w:rsidRPr="00CB3A3F">
        <w:rPr>
          <w:rFonts w:ascii="Times New Roman" w:hAnsi="Times New Roman" w:cs="Times New Roman"/>
          <w:i/>
          <w:iCs/>
          <w:sz w:val="28"/>
          <w:szCs w:val="28"/>
          <w:lang w:bidi="ar-IQ"/>
        </w:rPr>
        <w:t>et al</w:t>
      </w:r>
      <w:r w:rsidR="00FC7BEB" w:rsidRPr="008132E8">
        <w:rPr>
          <w:rFonts w:ascii="Times New Roman" w:hAnsi="Times New Roman" w:cs="Times New Roman"/>
          <w:sz w:val="28"/>
          <w:szCs w:val="28"/>
          <w:lang w:bidi="ar-IQ"/>
        </w:rPr>
        <w:t>. Immune response to hepatitis B vaccine among children in Yemen. Saudi Med. J. 2005; 26(2): 281-4.</w:t>
      </w:r>
    </w:p>
    <w:p w:rsidR="008132E8" w:rsidRPr="0088122C" w:rsidRDefault="008132E8" w:rsidP="0088122C">
      <w:pPr>
        <w:bidi w:val="0"/>
        <w:spacing w:after="0"/>
        <w:ind w:left="567" w:hanging="567"/>
        <w:jc w:val="both"/>
        <w:rPr>
          <w:rFonts w:ascii="Times New Roman" w:hAnsi="Times New Roman" w:cs="Times New Roman"/>
          <w:sz w:val="28"/>
          <w:szCs w:val="28"/>
        </w:rPr>
      </w:pPr>
      <w:r w:rsidRPr="0088122C">
        <w:rPr>
          <w:rFonts w:ascii="Times New Roman" w:hAnsi="Times New Roman" w:cs="Times New Roman"/>
          <w:sz w:val="28"/>
          <w:szCs w:val="28"/>
        </w:rPr>
        <w:t>20.Ali,H.Y.M. Hepatitis B infection among Iraqi children:the impact of sanction. East Mediter. Health J. 2004; 10(1-2): 6-11.</w:t>
      </w:r>
    </w:p>
    <w:p w:rsidR="00946FDD" w:rsidRPr="008132E8" w:rsidRDefault="00946FDD"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w:t>
      </w:r>
      <w:r w:rsidR="008132E8" w:rsidRPr="008132E8">
        <w:rPr>
          <w:rFonts w:ascii="Times New Roman" w:hAnsi="Times New Roman" w:cs="Times New Roman"/>
          <w:sz w:val="28"/>
          <w:szCs w:val="28"/>
          <w:lang w:bidi="ar-IQ"/>
        </w:rPr>
        <w:t>1</w:t>
      </w:r>
      <w:r w:rsidRPr="008132E8">
        <w:rPr>
          <w:rFonts w:ascii="Times New Roman" w:hAnsi="Times New Roman" w:cs="Times New Roman"/>
          <w:sz w:val="28"/>
          <w:szCs w:val="28"/>
          <w:lang w:bidi="ar-IQ"/>
        </w:rPr>
        <w:t>.Thomas, B.J. and Finch R.G. Hepatitis C virus infection. Clin. Microbiol. Infect. 2005; 11(2):86-94.</w:t>
      </w:r>
    </w:p>
    <w:p w:rsidR="00946FDD" w:rsidRPr="008132E8" w:rsidRDefault="00946FDD" w:rsidP="00CB3A3F">
      <w:pPr>
        <w:tabs>
          <w:tab w:val="right" w:pos="284"/>
          <w:tab w:val="right" w:pos="567"/>
        </w:tabs>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w:t>
      </w:r>
      <w:r w:rsidR="008132E8" w:rsidRPr="008132E8">
        <w:rPr>
          <w:rFonts w:ascii="Times New Roman" w:hAnsi="Times New Roman" w:cs="Times New Roman"/>
          <w:sz w:val="28"/>
          <w:szCs w:val="28"/>
          <w:lang w:bidi="ar-IQ"/>
        </w:rPr>
        <w:t>2</w:t>
      </w:r>
      <w:r w:rsidRPr="008132E8">
        <w:rPr>
          <w:rFonts w:ascii="Times New Roman" w:hAnsi="Times New Roman" w:cs="Times New Roman"/>
          <w:sz w:val="28"/>
          <w:szCs w:val="28"/>
          <w:lang w:bidi="ar-IQ"/>
        </w:rPr>
        <w:t>.Cox, A.L. ; Netski, D.M. and Mosbruger, T. Prospective evaluation of  community-acquired acute phase hepatitis C virus infection. Clin. Infect. Dis. 2005; 40(7): 951-8.</w:t>
      </w:r>
    </w:p>
    <w:p w:rsidR="00A303E1" w:rsidRPr="008132E8" w:rsidRDefault="00A303E1"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w:t>
      </w:r>
      <w:r w:rsidR="008132E8" w:rsidRPr="008132E8">
        <w:rPr>
          <w:rFonts w:ascii="Times New Roman" w:hAnsi="Times New Roman" w:cs="Times New Roman"/>
          <w:sz w:val="28"/>
          <w:szCs w:val="28"/>
          <w:lang w:bidi="ar-IQ"/>
        </w:rPr>
        <w:t>3</w:t>
      </w:r>
      <w:r w:rsidRPr="008132E8">
        <w:rPr>
          <w:rFonts w:ascii="Times New Roman" w:hAnsi="Times New Roman" w:cs="Times New Roman"/>
          <w:sz w:val="28"/>
          <w:szCs w:val="28"/>
          <w:lang w:bidi="ar-IQ"/>
        </w:rPr>
        <w:t>. Rerksuppaphol, S.; Hardikar, W. and Dore, G. Long-term outcome of vertically acquired and post-transfusion hepatitis C infection in children. J. Gastroenterol. Hepatol. 2004; 19(12): 1357-62.</w:t>
      </w:r>
    </w:p>
    <w:p w:rsidR="00A303E1" w:rsidRPr="008132E8" w:rsidRDefault="00A303E1"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w:t>
      </w:r>
      <w:r w:rsidR="008132E8" w:rsidRPr="008132E8">
        <w:rPr>
          <w:rFonts w:ascii="Times New Roman" w:hAnsi="Times New Roman" w:cs="Times New Roman"/>
          <w:sz w:val="28"/>
          <w:szCs w:val="28"/>
          <w:lang w:bidi="ar-IQ"/>
        </w:rPr>
        <w:t>4</w:t>
      </w:r>
      <w:r w:rsidRPr="008132E8">
        <w:rPr>
          <w:rFonts w:ascii="Times New Roman" w:hAnsi="Times New Roman" w:cs="Times New Roman"/>
          <w:sz w:val="28"/>
          <w:szCs w:val="28"/>
          <w:lang w:bidi="ar-IQ"/>
        </w:rPr>
        <w:t>.Gretch, D.R. Use and interpretation of HCV diagnostic tests in the clinical setting. Clin. Liver Dis. 1997; 1(3): 543-57.</w:t>
      </w:r>
    </w:p>
    <w:p w:rsidR="007038F5" w:rsidRPr="008132E8" w:rsidRDefault="007038F5"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w:t>
      </w:r>
      <w:r w:rsidR="008132E8" w:rsidRPr="008132E8">
        <w:rPr>
          <w:rFonts w:ascii="Times New Roman" w:hAnsi="Times New Roman" w:cs="Times New Roman"/>
          <w:sz w:val="28"/>
          <w:szCs w:val="28"/>
          <w:lang w:bidi="ar-IQ"/>
        </w:rPr>
        <w:t>5</w:t>
      </w:r>
      <w:r w:rsidRPr="008132E8">
        <w:rPr>
          <w:rFonts w:ascii="Times New Roman" w:hAnsi="Times New Roman" w:cs="Times New Roman"/>
          <w:sz w:val="28"/>
          <w:szCs w:val="28"/>
          <w:lang w:bidi="ar-IQ"/>
        </w:rPr>
        <w:t xml:space="preserve">. </w:t>
      </w:r>
      <w:r w:rsidR="008230A8" w:rsidRPr="008132E8">
        <w:rPr>
          <w:rFonts w:ascii="Times New Roman" w:hAnsi="Times New Roman" w:cs="Times New Roman"/>
          <w:sz w:val="28"/>
          <w:szCs w:val="28"/>
          <w:lang w:bidi="ar-IQ"/>
        </w:rPr>
        <w:t>Allain, J.P. Transfusion risks of yesterday and of today. Transfus. Clin. Biol. 2003; 10(1): 1-5.</w:t>
      </w:r>
    </w:p>
    <w:p w:rsidR="007038F5" w:rsidRPr="008132E8" w:rsidRDefault="007038F5"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w:t>
      </w:r>
      <w:r w:rsidR="008132E8" w:rsidRPr="008132E8">
        <w:rPr>
          <w:rFonts w:ascii="Times New Roman" w:hAnsi="Times New Roman" w:cs="Times New Roman"/>
          <w:sz w:val="28"/>
          <w:szCs w:val="28"/>
          <w:lang w:bidi="ar-IQ"/>
        </w:rPr>
        <w:t>6</w:t>
      </w:r>
      <w:r w:rsidRPr="008132E8">
        <w:rPr>
          <w:rFonts w:ascii="Times New Roman" w:hAnsi="Times New Roman" w:cs="Times New Roman"/>
          <w:sz w:val="28"/>
          <w:szCs w:val="28"/>
          <w:lang w:bidi="ar-IQ"/>
        </w:rPr>
        <w:t>. Busch, M.; Kle</w:t>
      </w:r>
      <w:r w:rsidR="008230A8" w:rsidRPr="008132E8">
        <w:rPr>
          <w:rFonts w:ascii="Times New Roman" w:hAnsi="Times New Roman" w:cs="Times New Roman"/>
          <w:sz w:val="28"/>
          <w:szCs w:val="28"/>
          <w:lang w:bidi="ar-IQ"/>
        </w:rPr>
        <w:t>inman,S. and Nemo, G. Current and emerging infectious risks of blood transfusion. JAMA 2003; 289 (8): 959-62.</w:t>
      </w:r>
    </w:p>
    <w:p w:rsidR="00432238" w:rsidRPr="008132E8" w:rsidRDefault="00432238"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w:t>
      </w:r>
      <w:r w:rsidR="008132E8" w:rsidRPr="008132E8">
        <w:rPr>
          <w:rFonts w:ascii="Times New Roman" w:hAnsi="Times New Roman" w:cs="Times New Roman"/>
          <w:sz w:val="28"/>
          <w:szCs w:val="28"/>
          <w:lang w:bidi="ar-IQ"/>
        </w:rPr>
        <w:t>7</w:t>
      </w:r>
      <w:r w:rsidRPr="008132E8">
        <w:rPr>
          <w:rFonts w:ascii="Times New Roman" w:hAnsi="Times New Roman" w:cs="Times New Roman"/>
          <w:sz w:val="28"/>
          <w:szCs w:val="28"/>
          <w:lang w:bidi="ar-IQ"/>
        </w:rPr>
        <w:t xml:space="preserve">. Yildirim, B.; Barut, S.; Bulut, Y.; Yenisehiril, G. Ozdemir, M.; Cetin,I.; </w:t>
      </w:r>
      <w:r w:rsidRPr="00CB3A3F">
        <w:rPr>
          <w:rFonts w:ascii="Times New Roman" w:hAnsi="Times New Roman" w:cs="Times New Roman"/>
          <w:i/>
          <w:iCs/>
          <w:sz w:val="28"/>
          <w:szCs w:val="28"/>
          <w:lang w:bidi="ar-IQ"/>
        </w:rPr>
        <w:t>et al</w:t>
      </w:r>
      <w:r w:rsidRPr="008132E8">
        <w:rPr>
          <w:rFonts w:ascii="Times New Roman" w:hAnsi="Times New Roman" w:cs="Times New Roman"/>
          <w:sz w:val="28"/>
          <w:szCs w:val="28"/>
          <w:lang w:bidi="ar-IQ"/>
        </w:rPr>
        <w:t>. Seroprevalence of hepatitis B and C viruses in the province of Tokat in the Black Sea region of Turkey: A population-based study.</w:t>
      </w:r>
      <w:r w:rsidR="00750108" w:rsidRPr="008132E8">
        <w:rPr>
          <w:rFonts w:ascii="Times New Roman" w:hAnsi="Times New Roman" w:cs="Times New Roman"/>
          <w:sz w:val="28"/>
          <w:szCs w:val="28"/>
          <w:lang w:bidi="ar-IQ"/>
        </w:rPr>
        <w:t xml:space="preserve"> Turk. J. Gastroenterol. 2009; 20(1): 27-30.</w:t>
      </w:r>
    </w:p>
    <w:p w:rsidR="00750108" w:rsidRPr="008132E8" w:rsidRDefault="00750108"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w:t>
      </w:r>
      <w:r w:rsidR="008132E8" w:rsidRPr="008132E8">
        <w:rPr>
          <w:rFonts w:ascii="Times New Roman" w:hAnsi="Times New Roman" w:cs="Times New Roman"/>
          <w:sz w:val="28"/>
          <w:szCs w:val="28"/>
          <w:lang w:bidi="ar-IQ"/>
        </w:rPr>
        <w:t>8</w:t>
      </w:r>
      <w:r w:rsidRPr="008132E8">
        <w:rPr>
          <w:rFonts w:ascii="Times New Roman" w:hAnsi="Times New Roman" w:cs="Times New Roman"/>
          <w:sz w:val="28"/>
          <w:szCs w:val="28"/>
          <w:lang w:bidi="ar-IQ"/>
        </w:rPr>
        <w:t>. El-Hazmi, M.M. Prevalence of HBV, HCV, HIV-1,2 and HTLV-I/II infections among blood donors in a teaching hospital in the central region of Saudi Arabia. Saudi Med. J. 2004; 25(1): 26-33.</w:t>
      </w:r>
    </w:p>
    <w:p w:rsidR="00D6489E" w:rsidRPr="008132E8" w:rsidRDefault="00750108"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2</w:t>
      </w:r>
      <w:r w:rsidR="008132E8" w:rsidRPr="008132E8">
        <w:rPr>
          <w:rFonts w:ascii="Times New Roman" w:hAnsi="Times New Roman" w:cs="Times New Roman"/>
          <w:sz w:val="28"/>
          <w:szCs w:val="28"/>
          <w:lang w:bidi="ar-IQ"/>
        </w:rPr>
        <w:t>9</w:t>
      </w:r>
      <w:r w:rsidR="00D6489E" w:rsidRPr="008132E8">
        <w:rPr>
          <w:rFonts w:ascii="Times New Roman" w:hAnsi="Times New Roman" w:cs="Times New Roman"/>
          <w:sz w:val="28"/>
          <w:szCs w:val="28"/>
          <w:lang w:bidi="ar-IQ"/>
        </w:rPr>
        <w:t>. Nafeh, M.; Medhat, A.; Shehata, M.; Mikhail, N.; Swifee, Y.; et al. Hepatitis C in a community in upper Egypt: Cross-sectional survey. Am. J. Trop. Med. Hyg. 2000; 63(5-6): 236-41.</w:t>
      </w:r>
    </w:p>
    <w:p w:rsidR="00443165" w:rsidRPr="008132E8" w:rsidRDefault="008132E8"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30</w:t>
      </w:r>
      <w:r w:rsidR="00443165" w:rsidRPr="008132E8">
        <w:rPr>
          <w:rFonts w:ascii="Times New Roman" w:hAnsi="Times New Roman" w:cs="Times New Roman"/>
          <w:sz w:val="28"/>
          <w:szCs w:val="28"/>
          <w:lang w:bidi="ar-IQ"/>
        </w:rPr>
        <w:t>. Alter, M.J. Epidemiology and prevention of hepatitis B. Semin. Liver Dis. 2003; 23(1): 39-46.</w:t>
      </w:r>
    </w:p>
    <w:p w:rsidR="0086103B" w:rsidRPr="008132E8" w:rsidRDefault="00750108"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3</w:t>
      </w:r>
      <w:r w:rsidR="008132E8" w:rsidRPr="008132E8">
        <w:rPr>
          <w:rFonts w:ascii="Times New Roman" w:hAnsi="Times New Roman" w:cs="Times New Roman"/>
          <w:sz w:val="28"/>
          <w:szCs w:val="28"/>
          <w:lang w:bidi="ar-IQ"/>
        </w:rPr>
        <w:t>1</w:t>
      </w:r>
      <w:r w:rsidR="0086103B" w:rsidRPr="008132E8">
        <w:rPr>
          <w:rFonts w:ascii="Times New Roman" w:hAnsi="Times New Roman" w:cs="Times New Roman"/>
          <w:sz w:val="28"/>
          <w:szCs w:val="28"/>
          <w:lang w:bidi="ar-IQ"/>
        </w:rPr>
        <w:t>. Kader,</w:t>
      </w:r>
      <w:r w:rsidR="003207FA" w:rsidRPr="008132E8">
        <w:rPr>
          <w:rFonts w:ascii="Times New Roman" w:hAnsi="Times New Roman" w:cs="Times New Roman"/>
          <w:sz w:val="28"/>
          <w:szCs w:val="28"/>
          <w:lang w:bidi="ar-IQ"/>
        </w:rPr>
        <w:t>M.; Ismail, A. and Tahir. S. Seropositivity of hepatitis B and C among different groups of population in Al-Tameem province. Iraqi J. Commun. Med. 2001; 14: 21- 4.</w:t>
      </w:r>
    </w:p>
    <w:p w:rsidR="0086103B" w:rsidRPr="008132E8" w:rsidRDefault="00750108" w:rsidP="00CB3A3F">
      <w:pPr>
        <w:bidi w:val="0"/>
        <w:spacing w:after="0" w:line="240" w:lineRule="auto"/>
        <w:ind w:left="567" w:hanging="567"/>
        <w:jc w:val="both"/>
        <w:rPr>
          <w:rFonts w:ascii="Times New Roman" w:hAnsi="Times New Roman" w:cs="Times New Roman"/>
          <w:sz w:val="28"/>
          <w:szCs w:val="28"/>
          <w:lang w:bidi="ar-IQ"/>
        </w:rPr>
      </w:pPr>
      <w:r w:rsidRPr="008132E8">
        <w:rPr>
          <w:rFonts w:ascii="Times New Roman" w:hAnsi="Times New Roman" w:cs="Times New Roman"/>
          <w:sz w:val="28"/>
          <w:szCs w:val="28"/>
          <w:lang w:bidi="ar-IQ"/>
        </w:rPr>
        <w:t>3</w:t>
      </w:r>
      <w:r w:rsidR="008132E8" w:rsidRPr="008132E8">
        <w:rPr>
          <w:rFonts w:ascii="Times New Roman" w:hAnsi="Times New Roman" w:cs="Times New Roman"/>
          <w:sz w:val="28"/>
          <w:szCs w:val="28"/>
          <w:lang w:bidi="ar-IQ"/>
        </w:rPr>
        <w:t>2</w:t>
      </w:r>
      <w:r w:rsidR="0086103B" w:rsidRPr="008132E8">
        <w:rPr>
          <w:rFonts w:ascii="Times New Roman" w:hAnsi="Times New Roman" w:cs="Times New Roman"/>
          <w:sz w:val="28"/>
          <w:szCs w:val="28"/>
          <w:lang w:bidi="ar-IQ"/>
        </w:rPr>
        <w:t>. Mahmood,</w:t>
      </w:r>
      <w:r w:rsidR="00694EBD" w:rsidRPr="008132E8">
        <w:rPr>
          <w:rFonts w:ascii="Times New Roman" w:hAnsi="Times New Roman" w:cs="Times New Roman"/>
          <w:sz w:val="28"/>
          <w:szCs w:val="28"/>
          <w:lang w:bidi="ar-IQ"/>
        </w:rPr>
        <w:t xml:space="preserve"> A.; Addose, S.; Salih, A. and Khadi, A. Seroprevalence of HBsAg and Anti-HCV positive blood donors in Najaf governorate. Iraqi J. commun. Med. 2001; 14: 29-33.</w:t>
      </w:r>
    </w:p>
    <w:p w:rsidR="00946FDD" w:rsidRPr="008132E8" w:rsidRDefault="00946FDD" w:rsidP="0088122C">
      <w:pPr>
        <w:bidi w:val="0"/>
        <w:spacing w:after="0"/>
        <w:jc w:val="both"/>
        <w:rPr>
          <w:rFonts w:ascii="Times New Roman" w:hAnsi="Times New Roman" w:cs="Times New Roman"/>
          <w:sz w:val="28"/>
          <w:szCs w:val="28"/>
          <w:lang w:bidi="ar-IQ"/>
        </w:rPr>
      </w:pPr>
    </w:p>
    <w:p w:rsidR="00DD5C25" w:rsidRPr="008132E8" w:rsidRDefault="00DD5C25" w:rsidP="0088122C">
      <w:pPr>
        <w:bidi w:val="0"/>
        <w:spacing w:after="0"/>
        <w:jc w:val="both"/>
        <w:rPr>
          <w:rFonts w:ascii="Times New Roman" w:hAnsi="Times New Roman" w:cs="Times New Roman"/>
          <w:sz w:val="28"/>
          <w:szCs w:val="28"/>
          <w:lang w:bidi="ar-IQ"/>
        </w:rPr>
      </w:pPr>
    </w:p>
    <w:p w:rsidR="00DD5C25" w:rsidRPr="008132E8" w:rsidRDefault="00DD5C25" w:rsidP="00DD5C25">
      <w:pPr>
        <w:bidi w:val="0"/>
        <w:jc w:val="both"/>
        <w:rPr>
          <w:rFonts w:ascii="Times New Roman" w:hAnsi="Times New Roman" w:cs="Times New Roman"/>
          <w:sz w:val="28"/>
          <w:szCs w:val="28"/>
          <w:lang w:bidi="ar-IQ"/>
        </w:rPr>
      </w:pPr>
    </w:p>
    <w:p w:rsidR="00DD5C25" w:rsidRPr="008132E8" w:rsidRDefault="00DD5C25" w:rsidP="00DD5C25">
      <w:pPr>
        <w:bidi w:val="0"/>
        <w:jc w:val="both"/>
        <w:rPr>
          <w:rFonts w:ascii="Times New Roman" w:hAnsi="Times New Roman" w:cs="Times New Roman"/>
          <w:sz w:val="28"/>
          <w:szCs w:val="28"/>
          <w:lang w:bidi="ar-IQ"/>
        </w:rPr>
      </w:pPr>
    </w:p>
    <w:p w:rsidR="00410E28" w:rsidRDefault="00410E28" w:rsidP="00410E28">
      <w:pPr>
        <w:jc w:val="center"/>
        <w:rPr>
          <w:rFonts w:ascii="Times New Roman" w:hAnsi="Times New Roman" w:cs="Times New Roman"/>
          <w:b/>
          <w:bCs/>
          <w:sz w:val="28"/>
          <w:szCs w:val="28"/>
          <w:lang w:bidi="ar-IQ"/>
        </w:rPr>
      </w:pPr>
      <w:r>
        <w:rPr>
          <w:rFonts w:ascii="Times New Roman" w:hAnsi="Times New Roman" w:cs="Times New Roman"/>
          <w:b/>
          <w:bCs/>
          <w:sz w:val="28"/>
          <w:szCs w:val="28"/>
          <w:rtl/>
          <w:lang w:bidi="ar-IQ"/>
        </w:rPr>
        <w:lastRenderedPageBreak/>
        <w:t>الانتشار المصلي لفيروس التهاب الكبد نمط (ب) و نمط (ج) في محافظة ديالى خلال الفترة 2003-2008</w:t>
      </w:r>
    </w:p>
    <w:p w:rsidR="00410E28" w:rsidRDefault="00410E28" w:rsidP="00410E28">
      <w:pPr>
        <w:jc w:val="center"/>
        <w:rPr>
          <w:rFonts w:ascii="Times New Roman" w:hAnsi="Times New Roman" w:cs="Times New Roman"/>
          <w:b/>
          <w:bCs/>
          <w:sz w:val="24"/>
          <w:szCs w:val="24"/>
          <w:rtl/>
          <w:lang w:bidi="ar-IQ"/>
        </w:rPr>
      </w:pPr>
      <w:r>
        <w:rPr>
          <w:rFonts w:ascii="Times New Roman" w:hAnsi="Times New Roman" w:cs="Times New Roman"/>
          <w:b/>
          <w:bCs/>
          <w:sz w:val="24"/>
          <w:szCs w:val="24"/>
          <w:rtl/>
          <w:lang w:bidi="ar-IQ"/>
        </w:rPr>
        <w:t>ازهر صبحي الجبوري (ماجستير)، كلية التربية- الرازي/ جامعة ديالى</w:t>
      </w:r>
    </w:p>
    <w:p w:rsidR="00410E28" w:rsidRDefault="00410E28" w:rsidP="00410E28">
      <w:pPr>
        <w:jc w:val="center"/>
        <w:rPr>
          <w:rFonts w:ascii="Times New Roman" w:hAnsi="Times New Roman" w:cs="Times New Roman"/>
          <w:b/>
          <w:bCs/>
          <w:sz w:val="24"/>
          <w:szCs w:val="24"/>
          <w:rtl/>
          <w:lang w:bidi="ar-IQ"/>
        </w:rPr>
      </w:pPr>
      <w:r>
        <w:rPr>
          <w:rFonts w:ascii="Times New Roman" w:hAnsi="Times New Roman" w:cs="Times New Roman"/>
          <w:b/>
          <w:bCs/>
          <w:sz w:val="24"/>
          <w:szCs w:val="24"/>
          <w:rtl/>
          <w:lang w:bidi="ar-IQ"/>
        </w:rPr>
        <w:t>عبدالرزاق شفيق حسن (دكتوراه)، كلية الطب/ جامعة ديالى</w:t>
      </w:r>
    </w:p>
    <w:p w:rsidR="00410E28" w:rsidRDefault="00410E28" w:rsidP="00410E28">
      <w:pPr>
        <w:jc w:val="center"/>
        <w:rPr>
          <w:rFonts w:ascii="Times New Roman" w:hAnsi="Times New Roman" w:cs="Times New Roman"/>
          <w:b/>
          <w:bCs/>
          <w:sz w:val="24"/>
          <w:szCs w:val="24"/>
          <w:rtl/>
          <w:lang w:bidi="ar-IQ"/>
        </w:rPr>
      </w:pPr>
      <w:r>
        <w:rPr>
          <w:rFonts w:ascii="Times New Roman" w:hAnsi="Times New Roman" w:cs="Times New Roman"/>
          <w:b/>
          <w:bCs/>
          <w:sz w:val="24"/>
          <w:szCs w:val="24"/>
          <w:rtl/>
          <w:lang w:bidi="ar-IQ"/>
        </w:rPr>
        <w:t>عباس عبود الدليمي (دكتوراه)، كلية التربية-الرازي/ جامعة ديالى</w:t>
      </w:r>
    </w:p>
    <w:p w:rsidR="00410E28" w:rsidRDefault="00410E28" w:rsidP="00410E28">
      <w:pPr>
        <w:jc w:val="both"/>
        <w:rPr>
          <w:rFonts w:ascii="Times New Roman" w:hAnsi="Times New Roman" w:cs="Times New Roman"/>
          <w:b/>
          <w:bCs/>
          <w:sz w:val="28"/>
          <w:szCs w:val="28"/>
          <w:rtl/>
          <w:lang w:bidi="ar-IQ"/>
        </w:rPr>
      </w:pPr>
      <w:r>
        <w:rPr>
          <w:rFonts w:ascii="Times New Roman" w:hAnsi="Times New Roman" w:cs="Times New Roman"/>
          <w:b/>
          <w:bCs/>
          <w:sz w:val="28"/>
          <w:szCs w:val="28"/>
          <w:rtl/>
          <w:lang w:bidi="ar-IQ"/>
        </w:rPr>
        <w:t>الخلاصة:</w:t>
      </w:r>
    </w:p>
    <w:p w:rsidR="00410E28" w:rsidRDefault="00410E28" w:rsidP="00410E28">
      <w:pPr>
        <w:jc w:val="both"/>
        <w:rPr>
          <w:rFonts w:ascii="Times New Roman" w:hAnsi="Times New Roman" w:cs="Times New Roman"/>
          <w:sz w:val="28"/>
          <w:szCs w:val="28"/>
          <w:rtl/>
          <w:lang w:bidi="ar-IQ"/>
        </w:rPr>
      </w:pPr>
      <w:r>
        <w:rPr>
          <w:rFonts w:ascii="Times New Roman" w:hAnsi="Times New Roman" w:cs="Times New Roman"/>
          <w:b/>
          <w:bCs/>
          <w:sz w:val="28"/>
          <w:szCs w:val="28"/>
          <w:rtl/>
          <w:lang w:bidi="ar-IQ"/>
        </w:rPr>
        <w:t>تمهيد:</w:t>
      </w:r>
      <w:r>
        <w:rPr>
          <w:rFonts w:ascii="Times New Roman" w:hAnsi="Times New Roman" w:cs="Times New Roman"/>
          <w:sz w:val="28"/>
          <w:szCs w:val="28"/>
          <w:rtl/>
          <w:lang w:bidi="ar-IQ"/>
        </w:rPr>
        <w:t xml:space="preserve"> ان الانتشار المصلي لفيروس التهاب الكبد نمط (ب) و نمط (ج) يعتمد بشكل كبير على معدل الحالات المزمنة في المجتمع وكذلك على طرق العدوى السائدة في ذلك المجتمع0</w:t>
      </w:r>
    </w:p>
    <w:p w:rsidR="00410E28" w:rsidRDefault="00410E28" w:rsidP="00410E28">
      <w:pPr>
        <w:jc w:val="both"/>
        <w:rPr>
          <w:rFonts w:ascii="Times New Roman" w:hAnsi="Times New Roman" w:cs="Times New Roman"/>
          <w:sz w:val="28"/>
          <w:szCs w:val="28"/>
          <w:rtl/>
          <w:lang w:bidi="ar-IQ"/>
        </w:rPr>
      </w:pPr>
      <w:r>
        <w:rPr>
          <w:rFonts w:ascii="Times New Roman" w:hAnsi="Times New Roman" w:cs="Times New Roman"/>
          <w:b/>
          <w:bCs/>
          <w:sz w:val="28"/>
          <w:szCs w:val="28"/>
          <w:rtl/>
          <w:lang w:bidi="ar-IQ"/>
        </w:rPr>
        <w:t>اهداف الدراسة:</w:t>
      </w:r>
      <w:r>
        <w:rPr>
          <w:rFonts w:ascii="Times New Roman" w:hAnsi="Times New Roman" w:cs="Times New Roman"/>
          <w:sz w:val="28"/>
          <w:szCs w:val="28"/>
          <w:rtl/>
          <w:lang w:bidi="ar-IQ"/>
        </w:rPr>
        <w:t xml:space="preserve"> لاستبيان الانتشار المصلي لفيروس التهاب الكبد نمط (ب) ونمط (ج) في محافظة ديالى خلال الفترة 2003-2008 0</w:t>
      </w:r>
    </w:p>
    <w:p w:rsidR="00410E28" w:rsidRDefault="00410E28" w:rsidP="00410E28">
      <w:pPr>
        <w:jc w:val="both"/>
        <w:rPr>
          <w:rFonts w:ascii="Times New Roman" w:hAnsi="Times New Roman" w:cs="Times New Roman"/>
          <w:sz w:val="28"/>
          <w:szCs w:val="28"/>
          <w:rtl/>
          <w:lang w:bidi="ar-IQ"/>
        </w:rPr>
      </w:pPr>
      <w:r>
        <w:rPr>
          <w:rFonts w:ascii="Times New Roman" w:hAnsi="Times New Roman" w:cs="Times New Roman"/>
          <w:b/>
          <w:bCs/>
          <w:sz w:val="28"/>
          <w:szCs w:val="28"/>
          <w:rtl/>
          <w:lang w:bidi="ar-IQ"/>
        </w:rPr>
        <w:t>المواد وطرق العمل:</w:t>
      </w:r>
      <w:r>
        <w:rPr>
          <w:rFonts w:ascii="Times New Roman" w:hAnsi="Times New Roman" w:cs="Times New Roman"/>
          <w:sz w:val="28"/>
          <w:szCs w:val="28"/>
          <w:rtl/>
          <w:lang w:bidi="ar-IQ"/>
        </w:rPr>
        <w:t xml:space="preserve"> اجريت هذه الدراسة للفترة من الاول من شباط/2008 الى الثلاثون من نيسان/2008 0 تم جمع المعلومات من سجلات وحدة الفيروسات في مختبر الصحة العامة في بعقوبة0 حولت تلك المعلومات الى قاعدة بيانات حاسوبية وحللت احصائيا0</w:t>
      </w:r>
    </w:p>
    <w:p w:rsidR="00410E28" w:rsidRDefault="00410E28" w:rsidP="00410E28">
      <w:pPr>
        <w:jc w:val="both"/>
        <w:rPr>
          <w:rFonts w:ascii="Times New Roman" w:hAnsi="Times New Roman" w:cs="Times New Roman"/>
          <w:sz w:val="28"/>
          <w:szCs w:val="28"/>
          <w:rtl/>
          <w:lang w:bidi="ar-IQ"/>
        </w:rPr>
      </w:pPr>
      <w:r>
        <w:rPr>
          <w:rFonts w:ascii="Times New Roman" w:hAnsi="Times New Roman" w:cs="Times New Roman"/>
          <w:b/>
          <w:bCs/>
          <w:sz w:val="28"/>
          <w:szCs w:val="28"/>
          <w:rtl/>
          <w:lang w:bidi="ar-IQ"/>
        </w:rPr>
        <w:t>النتائج:</w:t>
      </w:r>
      <w:r>
        <w:rPr>
          <w:rFonts w:ascii="Times New Roman" w:hAnsi="Times New Roman" w:cs="Times New Roman"/>
          <w:sz w:val="28"/>
          <w:szCs w:val="28"/>
          <w:rtl/>
          <w:lang w:bidi="ar-IQ"/>
        </w:rPr>
        <w:t xml:space="preserve"> ان اعلى انتشار سنوي لفيروس التهاب الكبد نمط (ب ) كان سنة 2004 ( </w:t>
      </w:r>
      <w:r>
        <w:rPr>
          <w:rFonts w:ascii="Times New Roman" w:hAnsi="Times New Roman" w:cs="Times New Roman"/>
          <w:sz w:val="28"/>
          <w:szCs w:val="28"/>
          <w:lang w:bidi="ar-IQ"/>
        </w:rPr>
        <w:t>5.5/1000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واعلى انتشار لفيروس التهاب الكبد نمط (ج)  كان في سنة 2004 (</w:t>
      </w:r>
      <w:r>
        <w:rPr>
          <w:rFonts w:ascii="Times New Roman" w:hAnsi="Times New Roman" w:cs="Times New Roman"/>
          <w:sz w:val="28"/>
          <w:szCs w:val="28"/>
          <w:lang w:bidi="ar-IQ"/>
        </w:rPr>
        <w:t>2.5/1000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0 ان معدل انتشار فيروس الكبد نمط (ب) و نمط (ج) بلغ ذروته خلال شهر نيسان0 ان الايجابية المصلية لفيروس لالتهاب الكبد نمط (ب) كانت عالية بشكل معنوي بين الفئة العمرية (</w:t>
      </w:r>
      <w:r>
        <w:rPr>
          <w:rFonts w:ascii="Times New Roman" w:hAnsi="Times New Roman" w:cs="Times New Roman"/>
          <w:sz w:val="28"/>
          <w:szCs w:val="28"/>
          <w:lang w:bidi="ar-IQ"/>
        </w:rPr>
        <w:t>29-20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 سنة ( </w:t>
      </w:r>
      <w:r>
        <w:rPr>
          <w:rFonts w:ascii="Times New Roman" w:hAnsi="Times New Roman" w:cs="Times New Roman"/>
          <w:sz w:val="28"/>
          <w:szCs w:val="28"/>
          <w:lang w:bidi="ar-IQ"/>
        </w:rPr>
        <w:t>p&lt; 0.001</w:t>
      </w:r>
      <w:r>
        <w:rPr>
          <w:rFonts w:ascii="Times New Roman" w:hAnsi="Times New Roman" w:cs="Times New Roman"/>
          <w:sz w:val="28"/>
          <w:szCs w:val="28"/>
          <w:rtl/>
          <w:lang w:bidi="ar-IQ"/>
        </w:rPr>
        <w:t>)0 في حين كانت الايجابية المصلية لفيروس التهاب الكبد نمط (ج) عالية بشكل معنوي بين الفئة العمرية (</w:t>
      </w:r>
      <w:r>
        <w:rPr>
          <w:rFonts w:ascii="Times New Roman" w:hAnsi="Times New Roman" w:cs="Times New Roman"/>
          <w:sz w:val="28"/>
          <w:szCs w:val="28"/>
          <w:lang w:bidi="ar-IQ"/>
        </w:rPr>
        <w:t>39-30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سنة (</w:t>
      </w:r>
      <w:r>
        <w:rPr>
          <w:rFonts w:ascii="Times New Roman" w:hAnsi="Times New Roman" w:cs="Times New Roman"/>
          <w:sz w:val="28"/>
          <w:szCs w:val="28"/>
          <w:lang w:bidi="ar-IQ"/>
        </w:rPr>
        <w:t>p&lt; 0.001</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)0 لم يكن هنالك ترابط معنوي بين الايجابية المصلية لفيروس التهاب الكبد نمط (ب) ونمط (ج) و موقع السكن0 ان الايجابية المصلية لفيروس التهاب الكبد نمط (ب) و نمط (ج) كانت عالية بشكل معنوي بين الذكور مقارنة بالاناث ( </w:t>
      </w:r>
      <w:r>
        <w:rPr>
          <w:rFonts w:ascii="Times New Roman" w:hAnsi="Times New Roman" w:cs="Times New Roman"/>
          <w:sz w:val="28"/>
          <w:szCs w:val="28"/>
          <w:lang w:bidi="ar-IQ"/>
        </w:rPr>
        <w:t>p= 0.009</w:t>
      </w:r>
      <w:r>
        <w:rPr>
          <w:rFonts w:ascii="Times New Roman" w:hAnsi="Times New Roman" w:cs="Times New Roman"/>
          <w:sz w:val="28"/>
          <w:szCs w:val="28"/>
          <w:rtl/>
          <w:lang w:bidi="ar-IQ"/>
        </w:rPr>
        <w:t>)0</w:t>
      </w:r>
    </w:p>
    <w:p w:rsidR="00410E28" w:rsidRDefault="00410E28" w:rsidP="00410E28">
      <w:pPr>
        <w:jc w:val="both"/>
        <w:rPr>
          <w:rFonts w:ascii="Times New Roman" w:hAnsi="Times New Roman" w:cs="Times New Roman"/>
          <w:sz w:val="28"/>
          <w:szCs w:val="28"/>
          <w:rtl/>
          <w:lang w:bidi="ar-IQ"/>
        </w:rPr>
      </w:pPr>
      <w:r>
        <w:rPr>
          <w:rFonts w:ascii="Times New Roman" w:hAnsi="Times New Roman" w:cs="Times New Roman"/>
          <w:b/>
          <w:bCs/>
          <w:sz w:val="28"/>
          <w:szCs w:val="28"/>
          <w:rtl/>
          <w:lang w:bidi="ar-IQ"/>
        </w:rPr>
        <w:t>الاستنتاج:</w:t>
      </w:r>
      <w:r>
        <w:rPr>
          <w:rFonts w:ascii="Times New Roman" w:hAnsi="Times New Roman" w:cs="Times New Roman"/>
          <w:sz w:val="28"/>
          <w:szCs w:val="28"/>
          <w:rtl/>
          <w:lang w:bidi="ar-IQ"/>
        </w:rPr>
        <w:t xml:space="preserve"> بالرغم من ان الانتشار المصلي السنوي لفيروس التهاب الكبد نمط (ب) قد شهد انخفاظا محدود، فان الانتشار المصلي السنوي لفيروس التهاب الكبد نمط (ج)  قد ارتفع بالمقابل0 وتوصي الدراسة بتفعيل وتنشيط برامج التحري الوبائي0</w:t>
      </w:r>
    </w:p>
    <w:p w:rsidR="00DD5C25" w:rsidRPr="008132E8" w:rsidRDefault="00DD5C25" w:rsidP="00410E28">
      <w:pPr>
        <w:jc w:val="both"/>
        <w:rPr>
          <w:rFonts w:ascii="Times New Roman" w:hAnsi="Times New Roman" w:cs="Times New Roman"/>
          <w:sz w:val="28"/>
          <w:szCs w:val="28"/>
          <w:lang w:bidi="ar-IQ"/>
        </w:rPr>
      </w:pPr>
    </w:p>
    <w:p w:rsidR="00DD5C25" w:rsidRPr="008132E8" w:rsidRDefault="00DD5C25" w:rsidP="00DD5C25">
      <w:pPr>
        <w:bidi w:val="0"/>
        <w:jc w:val="both"/>
        <w:rPr>
          <w:rFonts w:ascii="Times New Roman" w:hAnsi="Times New Roman" w:cs="Times New Roman"/>
          <w:sz w:val="28"/>
          <w:szCs w:val="28"/>
          <w:lang w:bidi="ar-IQ"/>
        </w:rPr>
      </w:pPr>
    </w:p>
    <w:p w:rsidR="00DD5C25" w:rsidRPr="008132E8" w:rsidRDefault="00DD5C25" w:rsidP="00DD5C25">
      <w:pPr>
        <w:bidi w:val="0"/>
        <w:jc w:val="both"/>
        <w:rPr>
          <w:rFonts w:ascii="Times New Roman" w:hAnsi="Times New Roman" w:cs="Times New Roman"/>
          <w:sz w:val="28"/>
          <w:szCs w:val="28"/>
          <w:lang w:bidi="ar-IQ"/>
        </w:rPr>
      </w:pPr>
    </w:p>
    <w:p w:rsidR="00DD5C25" w:rsidRPr="008132E8" w:rsidRDefault="00DD5C25" w:rsidP="00DD5C25">
      <w:pPr>
        <w:bidi w:val="0"/>
        <w:jc w:val="both"/>
        <w:rPr>
          <w:rFonts w:ascii="Times New Roman" w:hAnsi="Times New Roman" w:cs="Times New Roman"/>
          <w:sz w:val="28"/>
          <w:szCs w:val="28"/>
          <w:lang w:bidi="ar-IQ"/>
        </w:rPr>
      </w:pPr>
    </w:p>
    <w:p w:rsidR="00946FDD" w:rsidRPr="008132E8" w:rsidRDefault="00946FDD" w:rsidP="00946FDD">
      <w:pPr>
        <w:bidi w:val="0"/>
        <w:ind w:left="360"/>
        <w:jc w:val="both"/>
        <w:rPr>
          <w:rFonts w:ascii="Times New Roman" w:hAnsi="Times New Roman" w:cs="Times New Roman"/>
          <w:color w:val="00B0F0"/>
          <w:sz w:val="28"/>
          <w:szCs w:val="28"/>
          <w:lang w:bidi="ar-IQ"/>
        </w:rPr>
      </w:pPr>
    </w:p>
    <w:sectPr w:rsidR="00946FDD" w:rsidRPr="008132E8" w:rsidSect="004153E0">
      <w:footerReference w:type="default" r:id="rId10"/>
      <w:pgSz w:w="11906" w:h="16838"/>
      <w:pgMar w:top="1418" w:right="1134" w:bottom="1418" w:left="1134"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6FB" w:rsidRDefault="00BA56FB" w:rsidP="004153E0">
      <w:pPr>
        <w:spacing w:after="0" w:line="240" w:lineRule="auto"/>
      </w:pPr>
      <w:r>
        <w:separator/>
      </w:r>
    </w:p>
  </w:endnote>
  <w:endnote w:type="continuationSeparator" w:id="1">
    <w:p w:rsidR="00BA56FB" w:rsidRDefault="00BA56FB" w:rsidP="00415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235"/>
      <w:docPartObj>
        <w:docPartGallery w:val="Page Numbers (Bottom of Page)"/>
        <w:docPartUnique/>
      </w:docPartObj>
    </w:sdtPr>
    <w:sdtContent>
      <w:p w:rsidR="004153E0" w:rsidRDefault="00904866" w:rsidP="004153E0">
        <w:pPr>
          <w:pStyle w:val="Footer"/>
          <w:bidi w:val="0"/>
          <w:jc w:val="center"/>
        </w:pPr>
        <w:fldSimple w:instr=" PAGE   \* MERGEFORMAT ">
          <w:r w:rsidR="00410E28">
            <w:rPr>
              <w:noProof/>
            </w:rPr>
            <w:t>9</w:t>
          </w:r>
        </w:fldSimple>
      </w:p>
    </w:sdtContent>
  </w:sdt>
  <w:p w:rsidR="004153E0" w:rsidRDefault="00415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6FB" w:rsidRDefault="00BA56FB" w:rsidP="004153E0">
      <w:pPr>
        <w:spacing w:after="0" w:line="240" w:lineRule="auto"/>
      </w:pPr>
      <w:r>
        <w:separator/>
      </w:r>
    </w:p>
  </w:footnote>
  <w:footnote w:type="continuationSeparator" w:id="1">
    <w:p w:rsidR="00BA56FB" w:rsidRDefault="00BA56FB" w:rsidP="00415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B45DF"/>
    <w:multiLevelType w:val="hybridMultilevel"/>
    <w:tmpl w:val="F8C082C8"/>
    <w:lvl w:ilvl="0" w:tplc="C1429DE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809D7"/>
    <w:multiLevelType w:val="hybridMultilevel"/>
    <w:tmpl w:val="51BC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1786"/>
    <w:rsid w:val="00001F78"/>
    <w:rsid w:val="000038A7"/>
    <w:rsid w:val="00005597"/>
    <w:rsid w:val="00006610"/>
    <w:rsid w:val="00011FDB"/>
    <w:rsid w:val="00021881"/>
    <w:rsid w:val="00025718"/>
    <w:rsid w:val="00030AAE"/>
    <w:rsid w:val="000355A1"/>
    <w:rsid w:val="00042903"/>
    <w:rsid w:val="00043B4F"/>
    <w:rsid w:val="00047CC4"/>
    <w:rsid w:val="000900C7"/>
    <w:rsid w:val="0009524D"/>
    <w:rsid w:val="000A7993"/>
    <w:rsid w:val="000D568A"/>
    <w:rsid w:val="000F676C"/>
    <w:rsid w:val="00116129"/>
    <w:rsid w:val="00120B83"/>
    <w:rsid w:val="00121B05"/>
    <w:rsid w:val="001644C7"/>
    <w:rsid w:val="001644FA"/>
    <w:rsid w:val="00172731"/>
    <w:rsid w:val="001912F9"/>
    <w:rsid w:val="001932D8"/>
    <w:rsid w:val="00196779"/>
    <w:rsid w:val="001A3C25"/>
    <w:rsid w:val="001C4612"/>
    <w:rsid w:val="001C7666"/>
    <w:rsid w:val="001E7029"/>
    <w:rsid w:val="001F4294"/>
    <w:rsid w:val="00205639"/>
    <w:rsid w:val="00223D3E"/>
    <w:rsid w:val="00244634"/>
    <w:rsid w:val="0024643A"/>
    <w:rsid w:val="0025057D"/>
    <w:rsid w:val="00262CC7"/>
    <w:rsid w:val="00273BFF"/>
    <w:rsid w:val="00291C06"/>
    <w:rsid w:val="002A3AE6"/>
    <w:rsid w:val="002B1072"/>
    <w:rsid w:val="002B1268"/>
    <w:rsid w:val="002B2D85"/>
    <w:rsid w:val="002C409C"/>
    <w:rsid w:val="00304BE5"/>
    <w:rsid w:val="003207FA"/>
    <w:rsid w:val="0032106C"/>
    <w:rsid w:val="00333389"/>
    <w:rsid w:val="00354B1E"/>
    <w:rsid w:val="00362067"/>
    <w:rsid w:val="00365A20"/>
    <w:rsid w:val="00372615"/>
    <w:rsid w:val="00376B0F"/>
    <w:rsid w:val="0039242F"/>
    <w:rsid w:val="00392D7E"/>
    <w:rsid w:val="003E3C71"/>
    <w:rsid w:val="003F5476"/>
    <w:rsid w:val="003F5D40"/>
    <w:rsid w:val="00410E28"/>
    <w:rsid w:val="00413D45"/>
    <w:rsid w:val="004153E0"/>
    <w:rsid w:val="004172EE"/>
    <w:rsid w:val="004201EF"/>
    <w:rsid w:val="00432238"/>
    <w:rsid w:val="00443165"/>
    <w:rsid w:val="004474B8"/>
    <w:rsid w:val="004526FF"/>
    <w:rsid w:val="00474353"/>
    <w:rsid w:val="004748E0"/>
    <w:rsid w:val="00483057"/>
    <w:rsid w:val="004B00F6"/>
    <w:rsid w:val="004C1BFB"/>
    <w:rsid w:val="004D215D"/>
    <w:rsid w:val="004D4C53"/>
    <w:rsid w:val="004E6CA7"/>
    <w:rsid w:val="004F186D"/>
    <w:rsid w:val="004F1FB9"/>
    <w:rsid w:val="00505CA1"/>
    <w:rsid w:val="005233F2"/>
    <w:rsid w:val="00541F84"/>
    <w:rsid w:val="00543FE1"/>
    <w:rsid w:val="00546F71"/>
    <w:rsid w:val="005474E4"/>
    <w:rsid w:val="005476BA"/>
    <w:rsid w:val="00550A9F"/>
    <w:rsid w:val="005657F9"/>
    <w:rsid w:val="00590535"/>
    <w:rsid w:val="005B5C14"/>
    <w:rsid w:val="005C3255"/>
    <w:rsid w:val="005E4A93"/>
    <w:rsid w:val="00605CC0"/>
    <w:rsid w:val="006267D0"/>
    <w:rsid w:val="00630637"/>
    <w:rsid w:val="006355D3"/>
    <w:rsid w:val="00657C04"/>
    <w:rsid w:val="0067418A"/>
    <w:rsid w:val="00694EBD"/>
    <w:rsid w:val="0069674E"/>
    <w:rsid w:val="00697816"/>
    <w:rsid w:val="006A0FF1"/>
    <w:rsid w:val="006C5DFD"/>
    <w:rsid w:val="006F20B8"/>
    <w:rsid w:val="007009C6"/>
    <w:rsid w:val="007038F5"/>
    <w:rsid w:val="007270AE"/>
    <w:rsid w:val="00730A7A"/>
    <w:rsid w:val="00733AC7"/>
    <w:rsid w:val="00734669"/>
    <w:rsid w:val="00741209"/>
    <w:rsid w:val="00746C8A"/>
    <w:rsid w:val="00750108"/>
    <w:rsid w:val="00766691"/>
    <w:rsid w:val="00777C06"/>
    <w:rsid w:val="00780852"/>
    <w:rsid w:val="0078105E"/>
    <w:rsid w:val="007847A6"/>
    <w:rsid w:val="0079700D"/>
    <w:rsid w:val="007C64AE"/>
    <w:rsid w:val="007D5921"/>
    <w:rsid w:val="007F5AE4"/>
    <w:rsid w:val="00811E55"/>
    <w:rsid w:val="008132E8"/>
    <w:rsid w:val="00817710"/>
    <w:rsid w:val="008230A8"/>
    <w:rsid w:val="00830422"/>
    <w:rsid w:val="008372F6"/>
    <w:rsid w:val="0086103B"/>
    <w:rsid w:val="008618F9"/>
    <w:rsid w:val="00865EDA"/>
    <w:rsid w:val="00867FDD"/>
    <w:rsid w:val="00875301"/>
    <w:rsid w:val="0087787E"/>
    <w:rsid w:val="0088122C"/>
    <w:rsid w:val="00885B98"/>
    <w:rsid w:val="008929BA"/>
    <w:rsid w:val="008977CA"/>
    <w:rsid w:val="008A71BB"/>
    <w:rsid w:val="008B0571"/>
    <w:rsid w:val="008B65D1"/>
    <w:rsid w:val="008C3FA7"/>
    <w:rsid w:val="008E67B0"/>
    <w:rsid w:val="00904866"/>
    <w:rsid w:val="00905CAE"/>
    <w:rsid w:val="00923329"/>
    <w:rsid w:val="009279BC"/>
    <w:rsid w:val="00946FDD"/>
    <w:rsid w:val="009501B5"/>
    <w:rsid w:val="00955C41"/>
    <w:rsid w:val="0095778A"/>
    <w:rsid w:val="00964E12"/>
    <w:rsid w:val="00977B8E"/>
    <w:rsid w:val="0098116B"/>
    <w:rsid w:val="00991817"/>
    <w:rsid w:val="009D2852"/>
    <w:rsid w:val="009D3DD7"/>
    <w:rsid w:val="009E0F07"/>
    <w:rsid w:val="009E5209"/>
    <w:rsid w:val="00A13893"/>
    <w:rsid w:val="00A138C2"/>
    <w:rsid w:val="00A139E4"/>
    <w:rsid w:val="00A14B60"/>
    <w:rsid w:val="00A17C6D"/>
    <w:rsid w:val="00A24EE3"/>
    <w:rsid w:val="00A303E1"/>
    <w:rsid w:val="00A42BB1"/>
    <w:rsid w:val="00A7530D"/>
    <w:rsid w:val="00A77B3D"/>
    <w:rsid w:val="00A909FF"/>
    <w:rsid w:val="00AB70A2"/>
    <w:rsid w:val="00AC4F2C"/>
    <w:rsid w:val="00AD3F65"/>
    <w:rsid w:val="00AD402C"/>
    <w:rsid w:val="00AD4EF5"/>
    <w:rsid w:val="00AD6376"/>
    <w:rsid w:val="00AF4198"/>
    <w:rsid w:val="00B170AD"/>
    <w:rsid w:val="00B2037C"/>
    <w:rsid w:val="00B263CD"/>
    <w:rsid w:val="00B47E7D"/>
    <w:rsid w:val="00B62F61"/>
    <w:rsid w:val="00B74A18"/>
    <w:rsid w:val="00B83850"/>
    <w:rsid w:val="00B85FC6"/>
    <w:rsid w:val="00B863A0"/>
    <w:rsid w:val="00B919FD"/>
    <w:rsid w:val="00BA56FB"/>
    <w:rsid w:val="00BA657E"/>
    <w:rsid w:val="00BB0EEC"/>
    <w:rsid w:val="00BB3251"/>
    <w:rsid w:val="00BB393C"/>
    <w:rsid w:val="00BB3E32"/>
    <w:rsid w:val="00BC43F6"/>
    <w:rsid w:val="00BC4BB4"/>
    <w:rsid w:val="00BD5597"/>
    <w:rsid w:val="00BD5E2D"/>
    <w:rsid w:val="00BF6AEE"/>
    <w:rsid w:val="00C037EF"/>
    <w:rsid w:val="00C112A4"/>
    <w:rsid w:val="00C44D96"/>
    <w:rsid w:val="00C519B2"/>
    <w:rsid w:val="00C51C03"/>
    <w:rsid w:val="00C6521B"/>
    <w:rsid w:val="00C76F33"/>
    <w:rsid w:val="00C80998"/>
    <w:rsid w:val="00C864E7"/>
    <w:rsid w:val="00C945F5"/>
    <w:rsid w:val="00C97D21"/>
    <w:rsid w:val="00CA5047"/>
    <w:rsid w:val="00CA5EB4"/>
    <w:rsid w:val="00CB3A3F"/>
    <w:rsid w:val="00CB5B86"/>
    <w:rsid w:val="00CC0E77"/>
    <w:rsid w:val="00CD39E7"/>
    <w:rsid w:val="00D027F6"/>
    <w:rsid w:val="00D14A85"/>
    <w:rsid w:val="00D14F50"/>
    <w:rsid w:val="00D24C68"/>
    <w:rsid w:val="00D30529"/>
    <w:rsid w:val="00D31AF5"/>
    <w:rsid w:val="00D455B8"/>
    <w:rsid w:val="00D6365A"/>
    <w:rsid w:val="00D6489E"/>
    <w:rsid w:val="00D66124"/>
    <w:rsid w:val="00D661C1"/>
    <w:rsid w:val="00D7675B"/>
    <w:rsid w:val="00D8653E"/>
    <w:rsid w:val="00DB7440"/>
    <w:rsid w:val="00DD5C25"/>
    <w:rsid w:val="00DE236C"/>
    <w:rsid w:val="00DE6131"/>
    <w:rsid w:val="00DF251D"/>
    <w:rsid w:val="00E02F35"/>
    <w:rsid w:val="00E228A7"/>
    <w:rsid w:val="00E41626"/>
    <w:rsid w:val="00E853FF"/>
    <w:rsid w:val="00EA2D2F"/>
    <w:rsid w:val="00EA592A"/>
    <w:rsid w:val="00EB721F"/>
    <w:rsid w:val="00EC2DF8"/>
    <w:rsid w:val="00ED17D6"/>
    <w:rsid w:val="00ED4DE9"/>
    <w:rsid w:val="00F00908"/>
    <w:rsid w:val="00F0596C"/>
    <w:rsid w:val="00F1609C"/>
    <w:rsid w:val="00F21786"/>
    <w:rsid w:val="00F31228"/>
    <w:rsid w:val="00F61946"/>
    <w:rsid w:val="00F72B63"/>
    <w:rsid w:val="00F82B22"/>
    <w:rsid w:val="00F85E88"/>
    <w:rsid w:val="00F90986"/>
    <w:rsid w:val="00F90C8F"/>
    <w:rsid w:val="00F917A0"/>
    <w:rsid w:val="00F96D93"/>
    <w:rsid w:val="00FA2C58"/>
    <w:rsid w:val="00FC2333"/>
    <w:rsid w:val="00FC7BEB"/>
    <w:rsid w:val="00FE7CF1"/>
    <w:rsid w:val="00FF37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5A"/>
    <w:rPr>
      <w:rFonts w:ascii="Tahoma" w:hAnsi="Tahoma" w:cs="Tahoma"/>
      <w:sz w:val="16"/>
      <w:szCs w:val="16"/>
    </w:rPr>
  </w:style>
  <w:style w:type="paragraph" w:styleId="ListParagraph">
    <w:name w:val="List Paragraph"/>
    <w:basedOn w:val="Normal"/>
    <w:uiPriority w:val="34"/>
    <w:qFormat/>
    <w:rsid w:val="00FA2C58"/>
    <w:pPr>
      <w:ind w:left="720"/>
      <w:contextualSpacing/>
    </w:pPr>
  </w:style>
  <w:style w:type="paragraph" w:styleId="Header">
    <w:name w:val="header"/>
    <w:basedOn w:val="Normal"/>
    <w:link w:val="HeaderChar"/>
    <w:uiPriority w:val="99"/>
    <w:semiHidden/>
    <w:unhideWhenUsed/>
    <w:rsid w:val="004153E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153E0"/>
  </w:style>
  <w:style w:type="paragraph" w:styleId="Footer">
    <w:name w:val="footer"/>
    <w:basedOn w:val="Normal"/>
    <w:link w:val="FooterChar"/>
    <w:uiPriority w:val="99"/>
    <w:unhideWhenUsed/>
    <w:rsid w:val="004153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3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manualLayout>
          <c:layoutTarget val="inner"/>
          <c:xMode val="edge"/>
          <c:yMode val="edge"/>
          <c:x val="0.11335397426393305"/>
          <c:y val="0.1080938320209974"/>
          <c:w val="0.72204968944100145"/>
          <c:h val="0.77691571224051603"/>
        </c:manualLayout>
      </c:layout>
      <c:lineChart>
        <c:grouping val="standard"/>
        <c:ser>
          <c:idx val="0"/>
          <c:order val="3"/>
          <c:tx>
            <c:strRef>
              <c:f>Sheet1!$A$2</c:f>
            </c:strRef>
          </c:tx>
          <c:spPr>
            <a:ln w="25400">
              <a:solidFill>
                <a:srgbClr val="FF0000"/>
              </a:solidFill>
              <a:prstDash val="solid"/>
            </a:ln>
          </c:spPr>
          <c:cat>
            <c:multiLvlStrRef>
              <c:f>Sheet1!$B$1:$G$1</c:f>
            </c:multiLvlStrRef>
          </c:cat>
          <c:val>
            <c:numRef>
              <c:f>Sheet1!$B$2:$G$2</c:f>
            </c:numRef>
          </c:val>
        </c:ser>
        <c:ser>
          <c:idx val="4"/>
          <c:order val="4"/>
          <c:tx>
            <c:strRef>
              <c:f>Sheet1!$A$3</c:f>
            </c:strRef>
          </c:tx>
          <c:spPr>
            <a:ln w="25400">
              <a:solidFill>
                <a:srgbClr val="0000FF"/>
              </a:solidFill>
              <a:prstDash val="solid"/>
            </a:ln>
          </c:spPr>
          <c:cat>
            <c:multiLvlStrRef>
              <c:f>Sheet1!$B$1:$G$1</c:f>
            </c:multiLvlStrRef>
          </c:cat>
          <c:val>
            <c:numRef>
              <c:f>Sheet1!$B$3:$G$3</c:f>
            </c:numRef>
          </c:val>
        </c:ser>
        <c:ser>
          <c:idx val="5"/>
          <c:order val="5"/>
          <c:tx>
            <c:strRef>
              <c:f>Sheet1!$A$4</c:f>
            </c:strRef>
          </c:tx>
          <c:spPr>
            <a:ln w="25400">
              <a:solidFill>
                <a:srgbClr val="339966"/>
              </a:solidFill>
              <a:prstDash val="solid"/>
            </a:ln>
          </c:spPr>
          <c:cat>
            <c:multiLvlStrRef>
              <c:f>Sheet1!$B$1:$G$1</c:f>
            </c:multiLvlStrRef>
          </c:cat>
          <c:val>
            <c:numRef>
              <c:f>Sheet1!$B$4:$G$4</c:f>
            </c:numRef>
          </c:val>
        </c:ser>
        <c:ser>
          <c:idx val="1"/>
          <c:order val="0"/>
          <c:tx>
            <c:strRef>
              <c:f>Sheet1!$A$2</c:f>
              <c:strCache>
                <c:ptCount val="1"/>
                <c:pt idx="0">
                  <c:v>HBV</c:v>
                </c:pt>
              </c:strCache>
            </c:strRef>
          </c:tx>
          <c:spPr>
            <a:ln w="25400">
              <a:solidFill>
                <a:srgbClr val="FF0000"/>
              </a:solidFill>
              <a:prstDash val="solid"/>
            </a:ln>
          </c:spPr>
          <c:marker>
            <c:symbol val="square"/>
            <c:size val="8"/>
            <c:spPr>
              <a:solidFill>
                <a:srgbClr val="FFFFFF"/>
              </a:solidFill>
              <a:ln>
                <a:solidFill>
                  <a:srgbClr val="FF0000"/>
                </a:solidFill>
                <a:prstDash val="solid"/>
              </a:ln>
            </c:spPr>
          </c:marker>
          <c:cat>
            <c:numRef>
              <c:f>Sheet1!$B$1:$G$1</c:f>
              <c:numCache>
                <c:formatCode>General</c:formatCode>
                <c:ptCount val="6"/>
                <c:pt idx="0">
                  <c:v>2003</c:v>
                </c:pt>
                <c:pt idx="1">
                  <c:v>2004</c:v>
                </c:pt>
                <c:pt idx="2">
                  <c:v>2005</c:v>
                </c:pt>
                <c:pt idx="3">
                  <c:v>2006</c:v>
                </c:pt>
                <c:pt idx="4">
                  <c:v>2007</c:v>
                </c:pt>
                <c:pt idx="5">
                  <c:v>2008</c:v>
                </c:pt>
              </c:numCache>
            </c:numRef>
          </c:cat>
          <c:val>
            <c:numRef>
              <c:f>Sheet1!$B$2:$G$2</c:f>
              <c:numCache>
                <c:formatCode>General</c:formatCode>
                <c:ptCount val="6"/>
                <c:pt idx="0">
                  <c:v>97</c:v>
                </c:pt>
                <c:pt idx="1">
                  <c:v>181</c:v>
                </c:pt>
                <c:pt idx="2">
                  <c:v>27</c:v>
                </c:pt>
                <c:pt idx="3">
                  <c:v>98</c:v>
                </c:pt>
                <c:pt idx="4">
                  <c:v>26</c:v>
                </c:pt>
                <c:pt idx="5">
                  <c:v>46</c:v>
                </c:pt>
              </c:numCache>
            </c:numRef>
          </c:val>
        </c:ser>
        <c:ser>
          <c:idx val="2"/>
          <c:order val="1"/>
          <c:tx>
            <c:strRef>
              <c:f>Sheet1!$A$3</c:f>
              <c:strCache>
                <c:ptCount val="1"/>
                <c:pt idx="0">
                  <c:v>HCV</c:v>
                </c:pt>
              </c:strCache>
            </c:strRef>
          </c:tx>
          <c:spPr>
            <a:ln w="25400">
              <a:solidFill>
                <a:srgbClr val="0000FF"/>
              </a:solidFill>
              <a:prstDash val="solid"/>
            </a:ln>
          </c:spPr>
          <c:marker>
            <c:symbol val="triangle"/>
            <c:size val="8"/>
            <c:spPr>
              <a:solidFill>
                <a:srgbClr val="FFFF00"/>
              </a:solidFill>
              <a:ln>
                <a:solidFill>
                  <a:srgbClr val="0000FF"/>
                </a:solidFill>
                <a:prstDash val="solid"/>
              </a:ln>
            </c:spPr>
          </c:marker>
          <c:cat>
            <c:numRef>
              <c:f>Sheet1!$B$1:$G$1</c:f>
              <c:numCache>
                <c:formatCode>General</c:formatCode>
                <c:ptCount val="6"/>
                <c:pt idx="0">
                  <c:v>2003</c:v>
                </c:pt>
                <c:pt idx="1">
                  <c:v>2004</c:v>
                </c:pt>
                <c:pt idx="2">
                  <c:v>2005</c:v>
                </c:pt>
                <c:pt idx="3">
                  <c:v>2006</c:v>
                </c:pt>
                <c:pt idx="4">
                  <c:v>2007</c:v>
                </c:pt>
                <c:pt idx="5">
                  <c:v>2008</c:v>
                </c:pt>
              </c:numCache>
            </c:numRef>
          </c:cat>
          <c:val>
            <c:numRef>
              <c:f>Sheet1!$B$3:$G$3</c:f>
              <c:numCache>
                <c:formatCode>General</c:formatCode>
                <c:ptCount val="6"/>
                <c:pt idx="0">
                  <c:v>33</c:v>
                </c:pt>
                <c:pt idx="1">
                  <c:v>83</c:v>
                </c:pt>
                <c:pt idx="2">
                  <c:v>8</c:v>
                </c:pt>
                <c:pt idx="3">
                  <c:v>45</c:v>
                </c:pt>
                <c:pt idx="4">
                  <c:v>4</c:v>
                </c:pt>
                <c:pt idx="5">
                  <c:v>23</c:v>
                </c:pt>
              </c:numCache>
            </c:numRef>
          </c:val>
        </c:ser>
        <c:ser>
          <c:idx val="3"/>
          <c:order val="2"/>
          <c:tx>
            <c:strRef>
              <c:f>Sheet1!$A$4</c:f>
              <c:strCache>
                <c:ptCount val="1"/>
                <c:pt idx="0">
                  <c:v>Total</c:v>
                </c:pt>
              </c:strCache>
            </c:strRef>
          </c:tx>
          <c:spPr>
            <a:ln w="25400">
              <a:solidFill>
                <a:srgbClr val="339966"/>
              </a:solidFill>
              <a:prstDash val="solid"/>
            </a:ln>
          </c:spPr>
          <c:marker>
            <c:symbol val="circle"/>
            <c:size val="8"/>
            <c:spPr>
              <a:noFill/>
              <a:ln>
                <a:solidFill>
                  <a:srgbClr val="808000"/>
                </a:solidFill>
                <a:prstDash val="solid"/>
              </a:ln>
            </c:spPr>
          </c:marker>
          <c:cat>
            <c:numRef>
              <c:f>Sheet1!$B$1:$G$1</c:f>
              <c:numCache>
                <c:formatCode>General</c:formatCode>
                <c:ptCount val="6"/>
                <c:pt idx="0">
                  <c:v>2003</c:v>
                </c:pt>
                <c:pt idx="1">
                  <c:v>2004</c:v>
                </c:pt>
                <c:pt idx="2">
                  <c:v>2005</c:v>
                </c:pt>
                <c:pt idx="3">
                  <c:v>2006</c:v>
                </c:pt>
                <c:pt idx="4">
                  <c:v>2007</c:v>
                </c:pt>
                <c:pt idx="5">
                  <c:v>2008</c:v>
                </c:pt>
              </c:numCache>
            </c:numRef>
          </c:cat>
          <c:val>
            <c:numRef>
              <c:f>Sheet1!$B$4:$G$4</c:f>
              <c:numCache>
                <c:formatCode>General</c:formatCode>
                <c:ptCount val="6"/>
                <c:pt idx="0">
                  <c:v>130</c:v>
                </c:pt>
                <c:pt idx="1">
                  <c:v>264</c:v>
                </c:pt>
                <c:pt idx="2">
                  <c:v>35</c:v>
                </c:pt>
                <c:pt idx="3">
                  <c:v>143</c:v>
                </c:pt>
                <c:pt idx="4">
                  <c:v>30</c:v>
                </c:pt>
                <c:pt idx="5">
                  <c:v>69</c:v>
                </c:pt>
              </c:numCache>
            </c:numRef>
          </c:val>
        </c:ser>
        <c:marker val="1"/>
        <c:axId val="74835072"/>
        <c:axId val="74837376"/>
      </c:lineChart>
      <c:catAx>
        <c:axId val="74835072"/>
        <c:scaling>
          <c:orientation val="minMax"/>
        </c:scaling>
        <c:axPos val="b"/>
        <c:title>
          <c:tx>
            <c:rich>
              <a:bodyPr/>
              <a:lstStyle/>
              <a:p>
                <a:pPr>
                  <a:defRPr sz="1200" b="1" i="0" u="none" strike="noStrike" baseline="0">
                    <a:solidFill>
                      <a:srgbClr val="000000"/>
                    </a:solidFill>
                    <a:latin typeface="Arial Narrow"/>
                    <a:ea typeface="Arial Narrow"/>
                    <a:cs typeface="Arial Narrow"/>
                  </a:defRPr>
                </a:pPr>
                <a:r>
                  <a:rPr lang="en-US"/>
                  <a:t>Year of reporting</a:t>
                </a:r>
              </a:p>
            </c:rich>
          </c:tx>
          <c:layout>
            <c:manualLayout>
              <c:xMode val="edge"/>
              <c:yMode val="edge"/>
              <c:x val="0.38975146157271873"/>
              <c:y val="0.93957698106885557"/>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Narrow"/>
                <a:ea typeface="Arial Narrow"/>
                <a:cs typeface="Arial Narrow"/>
              </a:defRPr>
            </a:pPr>
            <a:endParaRPr lang="ar-IQ"/>
          </a:p>
        </c:txPr>
        <c:crossAx val="74837376"/>
        <c:crosses val="autoZero"/>
        <c:auto val="1"/>
        <c:lblAlgn val="ctr"/>
        <c:lblOffset val="100"/>
        <c:tickLblSkip val="1"/>
        <c:tickMarkSkip val="1"/>
      </c:catAx>
      <c:valAx>
        <c:axId val="74837376"/>
        <c:scaling>
          <c:orientation val="minMax"/>
        </c:scaling>
        <c:axPos val="l"/>
        <c:majorGridlines>
          <c:spPr>
            <a:ln w="12700">
              <a:solidFill>
                <a:srgbClr val="000000"/>
              </a:solidFill>
              <a:prstDash val="sysDash"/>
            </a:ln>
          </c:spPr>
        </c:majorGridlines>
        <c:title>
          <c:tx>
            <c:rich>
              <a:bodyPr/>
              <a:lstStyle/>
              <a:p>
                <a:pPr>
                  <a:defRPr sz="1200" b="1" i="0" u="none" strike="noStrike" baseline="0">
                    <a:solidFill>
                      <a:srgbClr val="000000"/>
                    </a:solidFill>
                    <a:latin typeface="Arial Narrow"/>
                    <a:ea typeface="Arial Narrow"/>
                    <a:cs typeface="Arial Narrow"/>
                  </a:defRPr>
                </a:pPr>
                <a:r>
                  <a:rPr lang="en-US"/>
                  <a:t>Number of hepatitis positive cases</a:t>
                </a:r>
              </a:p>
            </c:rich>
          </c:tx>
          <c:layout>
            <c:manualLayout>
              <c:xMode val="edge"/>
              <c:yMode val="edge"/>
              <c:x val="0"/>
              <c:y val="0.18925233644860051"/>
            </c:manualLayout>
          </c:layout>
          <c:spPr>
            <a:noFill/>
            <a:ln w="25400">
              <a:noFill/>
            </a:ln>
          </c:spPr>
        </c:title>
        <c:numFmt formatCode="General" sourceLinked="1"/>
        <c:minorTickMark val="in"/>
        <c:tickLblPos val="nextTo"/>
        <c:spPr>
          <a:ln w="3175">
            <a:solidFill>
              <a:srgbClr val="000000"/>
            </a:solidFill>
            <a:prstDash val="solid"/>
          </a:ln>
        </c:spPr>
        <c:txPr>
          <a:bodyPr rot="0" vert="horz"/>
          <a:lstStyle/>
          <a:p>
            <a:pPr>
              <a:defRPr sz="1200" b="1" i="0" u="none" strike="noStrike" baseline="0">
                <a:solidFill>
                  <a:srgbClr val="000000"/>
                </a:solidFill>
                <a:latin typeface="Arial Narrow"/>
                <a:ea typeface="Arial Narrow"/>
                <a:cs typeface="Arial Narrow"/>
              </a:defRPr>
            </a:pPr>
            <a:endParaRPr lang="ar-IQ"/>
          </a:p>
        </c:txPr>
        <c:crossAx val="74835072"/>
        <c:crosses val="autoZero"/>
        <c:crossBetween val="midCat"/>
        <c:majorUnit val="20"/>
      </c:valAx>
      <c:spPr>
        <a:noFill/>
        <a:ln w="12700">
          <a:solidFill>
            <a:srgbClr val="808080"/>
          </a:solidFill>
          <a:prstDash val="solid"/>
        </a:ln>
      </c:spPr>
    </c:plotArea>
    <c:legend>
      <c:legendPos val="r"/>
      <c:layout>
        <c:manualLayout>
          <c:xMode val="edge"/>
          <c:yMode val="edge"/>
          <c:x val="0.85869565217393162"/>
          <c:y val="5.3738317757009504E-2"/>
          <c:w val="0.12888198757763991"/>
          <c:h val="0.2546728971962659"/>
        </c:manualLayout>
      </c:layout>
      <c:spPr>
        <a:noFill/>
        <a:ln w="3175">
          <a:solidFill>
            <a:srgbClr val="000000"/>
          </a:solidFill>
          <a:prstDash val="solid"/>
        </a:ln>
      </c:spPr>
      <c:txPr>
        <a:bodyPr/>
        <a:lstStyle/>
        <a:p>
          <a:pPr>
            <a:defRPr sz="1100" b="1" i="0" u="none" strike="noStrike" baseline="0">
              <a:solidFill>
                <a:srgbClr val="000000"/>
              </a:solidFill>
              <a:latin typeface="Arial Narrow"/>
              <a:ea typeface="Arial Narrow"/>
              <a:cs typeface="Arial Narrow"/>
            </a:defRPr>
          </a:pPr>
          <a:endParaRPr lang="ar-IQ"/>
        </a:p>
      </c:txPr>
    </c:legend>
    <c:plotVisOnly val="1"/>
    <c:dispBlanksAs val="gap"/>
  </c:chart>
  <c:spPr>
    <a:noFill/>
    <a:ln>
      <a:noFill/>
    </a:ln>
  </c:spPr>
  <c:txPr>
    <a:bodyPr/>
    <a:lstStyle/>
    <a:p>
      <a:pPr>
        <a:defRPr sz="1200" b="1" i="0" u="none" strike="noStrike" baseline="0">
          <a:solidFill>
            <a:srgbClr val="000000"/>
          </a:solidFill>
          <a:latin typeface="Arial Narrow"/>
          <a:ea typeface="Arial Narrow"/>
          <a:cs typeface="Arial Narrow"/>
        </a:defRPr>
      </a:pPr>
      <a:endParaRPr lang="ar-IQ"/>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manualLayout>
          <c:layoutTarget val="inner"/>
          <c:xMode val="edge"/>
          <c:yMode val="edge"/>
          <c:x val="0.11335403726708075"/>
          <c:y val="3.2710280373831772E-2"/>
          <c:w val="0.73291925465840013"/>
          <c:h val="0.82242990654205661"/>
        </c:manualLayout>
      </c:layout>
      <c:lineChart>
        <c:grouping val="standard"/>
        <c:ser>
          <c:idx val="1"/>
          <c:order val="0"/>
          <c:tx>
            <c:strRef>
              <c:f>Sheet1!$A$2</c:f>
              <c:strCache>
                <c:ptCount val="1"/>
                <c:pt idx="0">
                  <c:v>HBV</c:v>
                </c:pt>
              </c:strCache>
            </c:strRef>
          </c:tx>
          <c:spPr>
            <a:ln w="25343">
              <a:solidFill>
                <a:srgbClr val="FF0000"/>
              </a:solidFill>
              <a:prstDash val="solid"/>
            </a:ln>
          </c:spPr>
          <c:marker>
            <c:symbol val="square"/>
            <c:size val="7"/>
            <c:spPr>
              <a:solidFill>
                <a:srgbClr val="FFFFFF"/>
              </a:solidFill>
              <a:ln>
                <a:solidFill>
                  <a:srgbClr val="FF0000"/>
                </a:solidFill>
                <a:prstDash val="solid"/>
              </a:ln>
            </c:spPr>
          </c:marker>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General</c:formatCode>
                <c:ptCount val="12"/>
                <c:pt idx="0">
                  <c:v>30</c:v>
                </c:pt>
                <c:pt idx="1">
                  <c:v>17</c:v>
                </c:pt>
                <c:pt idx="2">
                  <c:v>57</c:v>
                </c:pt>
                <c:pt idx="3">
                  <c:v>72</c:v>
                </c:pt>
                <c:pt idx="4">
                  <c:v>57</c:v>
                </c:pt>
                <c:pt idx="5">
                  <c:v>35</c:v>
                </c:pt>
                <c:pt idx="6">
                  <c:v>44</c:v>
                </c:pt>
                <c:pt idx="7">
                  <c:v>26</c:v>
                </c:pt>
                <c:pt idx="8">
                  <c:v>27</c:v>
                </c:pt>
                <c:pt idx="9">
                  <c:v>45</c:v>
                </c:pt>
                <c:pt idx="10">
                  <c:v>29</c:v>
                </c:pt>
                <c:pt idx="11">
                  <c:v>36</c:v>
                </c:pt>
              </c:numCache>
            </c:numRef>
          </c:val>
        </c:ser>
        <c:ser>
          <c:idx val="2"/>
          <c:order val="1"/>
          <c:tx>
            <c:strRef>
              <c:f>Sheet1!$A$3</c:f>
              <c:strCache>
                <c:ptCount val="1"/>
                <c:pt idx="0">
                  <c:v>HCV</c:v>
                </c:pt>
              </c:strCache>
            </c:strRef>
          </c:tx>
          <c:spPr>
            <a:ln w="25343">
              <a:solidFill>
                <a:srgbClr val="0000FF"/>
              </a:solidFill>
              <a:prstDash val="solid"/>
            </a:ln>
          </c:spPr>
          <c:marker>
            <c:symbol val="triangle"/>
            <c:size val="7"/>
            <c:spPr>
              <a:solidFill>
                <a:srgbClr val="FFFF00"/>
              </a:solidFill>
              <a:ln>
                <a:solidFill>
                  <a:srgbClr val="0000FF"/>
                </a:solidFill>
                <a:prstDash val="solid"/>
              </a:ln>
            </c:spPr>
          </c:marker>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General</c:formatCode>
                <c:ptCount val="12"/>
                <c:pt idx="0">
                  <c:v>15</c:v>
                </c:pt>
                <c:pt idx="1">
                  <c:v>15</c:v>
                </c:pt>
                <c:pt idx="2">
                  <c:v>12</c:v>
                </c:pt>
                <c:pt idx="3">
                  <c:v>34</c:v>
                </c:pt>
                <c:pt idx="4">
                  <c:v>18</c:v>
                </c:pt>
                <c:pt idx="5">
                  <c:v>6</c:v>
                </c:pt>
                <c:pt idx="6">
                  <c:v>16</c:v>
                </c:pt>
                <c:pt idx="7">
                  <c:v>15</c:v>
                </c:pt>
                <c:pt idx="8">
                  <c:v>10</c:v>
                </c:pt>
                <c:pt idx="9">
                  <c:v>19</c:v>
                </c:pt>
                <c:pt idx="10">
                  <c:v>12</c:v>
                </c:pt>
                <c:pt idx="11">
                  <c:v>24</c:v>
                </c:pt>
              </c:numCache>
            </c:numRef>
          </c:val>
        </c:ser>
        <c:ser>
          <c:idx val="3"/>
          <c:order val="2"/>
          <c:tx>
            <c:strRef>
              <c:f>Sheet1!$A$4</c:f>
              <c:strCache>
                <c:ptCount val="1"/>
                <c:pt idx="0">
                  <c:v>Total</c:v>
                </c:pt>
              </c:strCache>
            </c:strRef>
          </c:tx>
          <c:spPr>
            <a:ln w="25343">
              <a:solidFill>
                <a:srgbClr val="339966"/>
              </a:solidFill>
              <a:prstDash val="solid"/>
            </a:ln>
          </c:spPr>
          <c:marker>
            <c:symbol val="circle"/>
            <c:size val="7"/>
            <c:spPr>
              <a:noFill/>
              <a:ln>
                <a:solidFill>
                  <a:srgbClr val="808000"/>
                </a:solidFill>
                <a:prstDash val="solid"/>
              </a:ln>
            </c:spPr>
          </c:marker>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Sheet1!$B$4:$M$4</c:f>
              <c:numCache>
                <c:formatCode>General</c:formatCode>
                <c:ptCount val="12"/>
                <c:pt idx="0">
                  <c:v>45</c:v>
                </c:pt>
                <c:pt idx="1">
                  <c:v>32</c:v>
                </c:pt>
                <c:pt idx="2">
                  <c:v>69</c:v>
                </c:pt>
                <c:pt idx="3">
                  <c:v>106</c:v>
                </c:pt>
                <c:pt idx="4">
                  <c:v>75</c:v>
                </c:pt>
                <c:pt idx="5">
                  <c:v>41</c:v>
                </c:pt>
                <c:pt idx="6">
                  <c:v>60</c:v>
                </c:pt>
                <c:pt idx="7">
                  <c:v>41</c:v>
                </c:pt>
                <c:pt idx="8">
                  <c:v>37</c:v>
                </c:pt>
                <c:pt idx="9">
                  <c:v>64</c:v>
                </c:pt>
                <c:pt idx="10">
                  <c:v>41</c:v>
                </c:pt>
                <c:pt idx="11">
                  <c:v>60</c:v>
                </c:pt>
              </c:numCache>
            </c:numRef>
          </c:val>
        </c:ser>
        <c:marker val="1"/>
        <c:axId val="69702016"/>
        <c:axId val="69704320"/>
      </c:lineChart>
      <c:catAx>
        <c:axId val="69702016"/>
        <c:scaling>
          <c:orientation val="minMax"/>
        </c:scaling>
        <c:axPos val="b"/>
        <c:title>
          <c:tx>
            <c:rich>
              <a:bodyPr/>
              <a:lstStyle/>
              <a:p>
                <a:pPr>
                  <a:defRPr sz="1197" b="1" i="0" u="none" strike="noStrike" baseline="0">
                    <a:solidFill>
                      <a:srgbClr val="000000"/>
                    </a:solidFill>
                    <a:latin typeface="Arial Narrow"/>
                    <a:ea typeface="Arial Narrow"/>
                    <a:cs typeface="Arial Narrow"/>
                  </a:defRPr>
                </a:pPr>
                <a:r>
                  <a:rPr lang="en-US"/>
                  <a:t>Month of reporting</a:t>
                </a:r>
              </a:p>
            </c:rich>
          </c:tx>
          <c:layout>
            <c:manualLayout>
              <c:xMode val="edge"/>
              <c:yMode val="edge"/>
              <c:x val="0.38664596273292301"/>
              <c:y val="0.93224299065420568"/>
            </c:manualLayout>
          </c:layout>
          <c:spPr>
            <a:noFill/>
            <a:ln w="25343">
              <a:noFill/>
            </a:ln>
          </c:spPr>
        </c:title>
        <c:numFmt formatCode="General" sourceLinked="1"/>
        <c:tickLblPos val="nextTo"/>
        <c:spPr>
          <a:ln w="3168">
            <a:solidFill>
              <a:srgbClr val="000000"/>
            </a:solidFill>
            <a:prstDash val="solid"/>
          </a:ln>
        </c:spPr>
        <c:txPr>
          <a:bodyPr rot="0" vert="horz"/>
          <a:lstStyle/>
          <a:p>
            <a:pPr>
              <a:defRPr sz="1197" b="1" i="0" u="none" strike="noStrike" baseline="0">
                <a:solidFill>
                  <a:srgbClr val="000000"/>
                </a:solidFill>
                <a:latin typeface="Arial Narrow"/>
                <a:ea typeface="Arial Narrow"/>
                <a:cs typeface="Arial Narrow"/>
              </a:defRPr>
            </a:pPr>
            <a:endParaRPr lang="ar-IQ"/>
          </a:p>
        </c:txPr>
        <c:crossAx val="69704320"/>
        <c:crosses val="autoZero"/>
        <c:auto val="1"/>
        <c:lblAlgn val="ctr"/>
        <c:lblOffset val="100"/>
        <c:tickLblSkip val="1"/>
        <c:tickMarkSkip val="1"/>
      </c:catAx>
      <c:valAx>
        <c:axId val="69704320"/>
        <c:scaling>
          <c:orientation val="minMax"/>
        </c:scaling>
        <c:axPos val="l"/>
        <c:majorGridlines>
          <c:spPr>
            <a:ln w="12671">
              <a:solidFill>
                <a:srgbClr val="000000"/>
              </a:solidFill>
              <a:prstDash val="sysDash"/>
            </a:ln>
          </c:spPr>
        </c:majorGridlines>
        <c:title>
          <c:tx>
            <c:rich>
              <a:bodyPr/>
              <a:lstStyle/>
              <a:p>
                <a:pPr>
                  <a:defRPr sz="1197" b="1" i="0" u="none" strike="noStrike" baseline="0">
                    <a:solidFill>
                      <a:srgbClr val="000000"/>
                    </a:solidFill>
                    <a:latin typeface="Arial Narrow"/>
                    <a:ea typeface="Arial Narrow"/>
                    <a:cs typeface="Arial Narrow"/>
                  </a:defRPr>
                </a:pPr>
                <a:r>
                  <a:rPr lang="en-US"/>
                  <a:t>Number of hepatitis positive cases</a:t>
                </a:r>
              </a:p>
            </c:rich>
          </c:tx>
          <c:layout>
            <c:manualLayout>
              <c:xMode val="edge"/>
              <c:yMode val="edge"/>
              <c:x val="0"/>
              <c:y val="0.18925233644860046"/>
            </c:manualLayout>
          </c:layout>
          <c:spPr>
            <a:noFill/>
            <a:ln w="25343">
              <a:noFill/>
            </a:ln>
          </c:spPr>
        </c:title>
        <c:numFmt formatCode="General" sourceLinked="1"/>
        <c:minorTickMark val="in"/>
        <c:tickLblPos val="nextTo"/>
        <c:spPr>
          <a:ln w="3168">
            <a:solidFill>
              <a:srgbClr val="000000"/>
            </a:solidFill>
            <a:prstDash val="solid"/>
          </a:ln>
        </c:spPr>
        <c:txPr>
          <a:bodyPr rot="0" vert="horz"/>
          <a:lstStyle/>
          <a:p>
            <a:pPr>
              <a:defRPr sz="1197" b="1" i="0" u="none" strike="noStrike" baseline="0">
                <a:solidFill>
                  <a:srgbClr val="000000"/>
                </a:solidFill>
                <a:latin typeface="Arial Narrow"/>
                <a:ea typeface="Arial Narrow"/>
                <a:cs typeface="Arial Narrow"/>
              </a:defRPr>
            </a:pPr>
            <a:endParaRPr lang="ar-IQ"/>
          </a:p>
        </c:txPr>
        <c:crossAx val="69702016"/>
        <c:crosses val="autoZero"/>
        <c:crossBetween val="midCat"/>
        <c:majorUnit val="10"/>
      </c:valAx>
      <c:spPr>
        <a:noFill/>
        <a:ln w="12671">
          <a:solidFill>
            <a:srgbClr val="808080"/>
          </a:solidFill>
          <a:prstDash val="solid"/>
        </a:ln>
      </c:spPr>
    </c:plotArea>
    <c:legend>
      <c:legendPos val="r"/>
      <c:layout>
        <c:manualLayout>
          <c:xMode val="edge"/>
          <c:yMode val="edge"/>
          <c:x val="0.85869565217393096"/>
          <c:y val="5.3738317757009393E-2"/>
          <c:w val="0.12888198757763991"/>
          <c:h val="0.25467289719626574"/>
        </c:manualLayout>
      </c:layout>
      <c:spPr>
        <a:noFill/>
        <a:ln w="3168">
          <a:solidFill>
            <a:srgbClr val="000000"/>
          </a:solidFill>
          <a:prstDash val="solid"/>
        </a:ln>
      </c:spPr>
      <c:txPr>
        <a:bodyPr/>
        <a:lstStyle/>
        <a:p>
          <a:pPr>
            <a:defRPr sz="1098" b="1" i="0" u="none" strike="noStrike" baseline="0">
              <a:solidFill>
                <a:srgbClr val="000000"/>
              </a:solidFill>
              <a:latin typeface="Arial Narrow"/>
              <a:ea typeface="Arial Narrow"/>
              <a:cs typeface="Arial Narrow"/>
            </a:defRPr>
          </a:pPr>
          <a:endParaRPr lang="ar-IQ"/>
        </a:p>
      </c:txPr>
    </c:legend>
    <c:plotVisOnly val="1"/>
    <c:dispBlanksAs val="gap"/>
  </c:chart>
  <c:spPr>
    <a:noFill/>
    <a:ln>
      <a:noFill/>
    </a:ln>
  </c:spPr>
  <c:txPr>
    <a:bodyPr/>
    <a:lstStyle/>
    <a:p>
      <a:pPr>
        <a:defRPr sz="1197" b="1" i="0" u="none" strike="noStrike" baseline="0">
          <a:solidFill>
            <a:srgbClr val="000000"/>
          </a:solidFill>
          <a:latin typeface="Arial Narrow"/>
          <a:ea typeface="Arial Narrow"/>
          <a:cs typeface="Arial Narrow"/>
        </a:defRPr>
      </a:pPr>
      <a:endParaRPr lang="ar-IQ"/>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79B3-9A73-4461-A844-CECBC9CD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9</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Smart for computer</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Eng.TALIB  ABD WAHEED</dc:creator>
  <cp:keywords/>
  <dc:description/>
  <cp:lastModifiedBy>Hanoo</cp:lastModifiedBy>
  <cp:revision>164</cp:revision>
  <dcterms:created xsi:type="dcterms:W3CDTF">2009-04-09T18:11:00Z</dcterms:created>
  <dcterms:modified xsi:type="dcterms:W3CDTF">2009-10-10T20:45:00Z</dcterms:modified>
</cp:coreProperties>
</file>